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7EA7" w14:textId="652E67E6" w:rsidR="00600745" w:rsidRDefault="006C2CDB" w:rsidP="00562C42">
      <w:pPr>
        <w:pStyle w:val="Heading1"/>
      </w:pPr>
      <w:bookmarkStart w:id="0" w:name="_Toc527969651"/>
      <w:r>
        <w:t>S</w:t>
      </w:r>
      <w:r w:rsidR="00600745" w:rsidRPr="003711FD">
        <w:t>ection</w:t>
      </w:r>
      <w:r w:rsidR="00600745">
        <w:t xml:space="preserve"> </w:t>
      </w:r>
      <w:r w:rsidR="00600745" w:rsidRPr="003711FD">
        <w:t>1:</w:t>
      </w:r>
      <w:r w:rsidR="00600745">
        <w:t xml:space="preserve"> </w:t>
      </w:r>
      <w:r w:rsidR="00600745" w:rsidRPr="003711FD">
        <w:t>Consortium</w:t>
      </w:r>
      <w:r w:rsidR="00600745">
        <w:t xml:space="preserve"> </w:t>
      </w:r>
      <w:r w:rsidR="00600745" w:rsidRPr="003711FD">
        <w:t>Information</w:t>
      </w:r>
      <w:bookmarkEnd w:id="0"/>
    </w:p>
    <w:p w14:paraId="4CF6DAF9" w14:textId="2473868D" w:rsidR="000A6B81" w:rsidRPr="009B0576" w:rsidRDefault="0028169B" w:rsidP="009B0576">
      <w:pPr>
        <w:pStyle w:val="Title"/>
        <w:spacing w:after="240"/>
        <w:rPr>
          <w:color w:val="04326C"/>
          <w:sz w:val="72"/>
        </w:rPr>
      </w:pPr>
      <w:r>
        <w:rPr>
          <w:color w:val="04326C"/>
          <w:sz w:val="72"/>
        </w:rPr>
        <w:fldChar w:fldCharType="begin">
          <w:ffData>
            <w:name w:val="txt_consortum"/>
            <w:enabled/>
            <w:calcOnExit w:val="0"/>
            <w:exitMacro w:val="UpdateHeader"/>
            <w:statusText w:type="text" w:val="Please provide the name of your consortium"/>
            <w:textInput>
              <w:default w:val="Consortium Name"/>
              <w:format w:val="TITLE CASE"/>
            </w:textInput>
          </w:ffData>
        </w:fldChar>
      </w:r>
      <w:bookmarkStart w:id="1" w:name="txt_consortum"/>
      <w:r>
        <w:rPr>
          <w:color w:val="04326C"/>
          <w:sz w:val="72"/>
        </w:rPr>
        <w:instrText xml:space="preserve"> FORMTEXT </w:instrText>
      </w:r>
      <w:r>
        <w:rPr>
          <w:color w:val="04326C"/>
          <w:sz w:val="72"/>
        </w:rPr>
      </w:r>
      <w:r>
        <w:rPr>
          <w:color w:val="04326C"/>
          <w:sz w:val="72"/>
        </w:rPr>
        <w:fldChar w:fldCharType="separate"/>
      </w:r>
      <w:r w:rsidR="00A41729">
        <w:rPr>
          <w:noProof/>
          <w:color w:val="04326C"/>
          <w:sz w:val="72"/>
        </w:rPr>
        <w:t xml:space="preserve">North Coast Adult Education Consortium </w:t>
      </w:r>
      <w:r>
        <w:rPr>
          <w:color w:val="04326C"/>
          <w:sz w:val="72"/>
        </w:rPr>
        <w:fldChar w:fldCharType="end"/>
      </w:r>
      <w:bookmarkEnd w:id="1"/>
    </w:p>
    <w:p w14:paraId="6421A4F7" w14:textId="69F77E20" w:rsidR="009C284F" w:rsidRPr="00A324A7" w:rsidRDefault="009C284F" w:rsidP="009C284F">
      <w:pPr>
        <w:spacing w:after="0"/>
        <w:rPr>
          <w:rFonts w:asciiTheme="minorHAnsi" w:hAnsiTheme="minorHAnsi" w:cs="Arial"/>
          <w:b/>
          <w:color w:val="04326C"/>
          <w:sz w:val="24"/>
        </w:rPr>
      </w:pPr>
      <w:r w:rsidRPr="00A324A7">
        <w:rPr>
          <w:rFonts w:asciiTheme="minorHAnsi" w:hAnsiTheme="minorHAnsi" w:cs="Arial"/>
          <w:b/>
          <w:color w:val="04326C"/>
          <w:sz w:val="24"/>
        </w:rPr>
        <w:fldChar w:fldCharType="begin">
          <w:ffData>
            <w:name w:val="primary_contact"/>
            <w:enabled/>
            <w:calcOnExit w:val="0"/>
            <w:textInput>
              <w:default w:val="Primary Contact Name"/>
              <w:format w:val="TITLE CASE"/>
            </w:textInput>
          </w:ffData>
        </w:fldChar>
      </w:r>
      <w:bookmarkStart w:id="2" w:name="primary_contact"/>
      <w:r w:rsidRPr="00A324A7">
        <w:rPr>
          <w:rFonts w:asciiTheme="minorHAnsi" w:hAnsiTheme="minorHAnsi" w:cs="Arial"/>
          <w:b/>
          <w:color w:val="04326C"/>
          <w:sz w:val="24"/>
        </w:rPr>
        <w:instrText xml:space="preserve"> FORMTEXT </w:instrText>
      </w:r>
      <w:r w:rsidRPr="00A324A7">
        <w:rPr>
          <w:rFonts w:asciiTheme="minorHAnsi" w:hAnsiTheme="minorHAnsi" w:cs="Arial"/>
          <w:b/>
          <w:color w:val="04326C"/>
          <w:sz w:val="24"/>
        </w:rPr>
      </w:r>
      <w:r w:rsidRPr="00A324A7">
        <w:rPr>
          <w:rFonts w:asciiTheme="minorHAnsi" w:hAnsiTheme="minorHAnsi" w:cs="Arial"/>
          <w:b/>
          <w:color w:val="04326C"/>
          <w:sz w:val="24"/>
        </w:rPr>
        <w:fldChar w:fldCharType="separate"/>
      </w:r>
      <w:r w:rsidR="00084C2A" w:rsidRPr="008A6842">
        <w:rPr>
          <w:rFonts w:asciiTheme="minorHAnsi" w:hAnsiTheme="minorHAnsi" w:cs="Arial"/>
          <w:b/>
          <w:noProof/>
          <w:color w:val="04326C"/>
          <w:sz w:val="24"/>
        </w:rPr>
        <w:t>Margaret Talcott, M</w:t>
      </w:r>
      <w:r w:rsidR="00B24931">
        <w:rPr>
          <w:rFonts w:asciiTheme="minorHAnsi" w:hAnsiTheme="minorHAnsi" w:cs="Arial"/>
          <w:b/>
          <w:noProof/>
          <w:color w:val="04326C"/>
          <w:sz w:val="24"/>
        </w:rPr>
        <w:t>SW</w:t>
      </w:r>
      <w:r w:rsidRPr="00A324A7">
        <w:rPr>
          <w:rFonts w:asciiTheme="minorHAnsi" w:hAnsiTheme="minorHAnsi" w:cs="Arial"/>
          <w:b/>
          <w:color w:val="04326C"/>
          <w:sz w:val="24"/>
        </w:rPr>
        <w:fldChar w:fldCharType="end"/>
      </w:r>
      <w:bookmarkEnd w:id="2"/>
    </w:p>
    <w:p w14:paraId="3B7CBEAF" w14:textId="3E209F40"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Titl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8A6842" w:rsidRPr="008A6842">
        <w:rPr>
          <w:rFonts w:asciiTheme="minorHAnsi" w:hAnsiTheme="minorHAnsi" w:cs="Arial"/>
          <w:noProof/>
          <w:color w:val="04326C"/>
          <w:sz w:val="24"/>
        </w:rPr>
        <w:t>Interim-Director, Adult Education, College Of The Redwoods</w:t>
      </w:r>
      <w:r w:rsidRPr="00A324A7">
        <w:rPr>
          <w:rFonts w:asciiTheme="minorHAnsi" w:hAnsiTheme="minorHAnsi" w:cs="Arial"/>
          <w:color w:val="04326C"/>
          <w:sz w:val="24"/>
        </w:rPr>
        <w:fldChar w:fldCharType="end"/>
      </w:r>
    </w:p>
    <w:p w14:paraId="69E7EB18" w14:textId="7B20D2D2" w:rsidR="009C284F" w:rsidRPr="00A324A7" w:rsidRDefault="009C284F" w:rsidP="009C284F">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Phone"/>
              <w:format w:val="TITLE CASE"/>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8A6842">
        <w:rPr>
          <w:rFonts w:asciiTheme="minorHAnsi" w:hAnsiTheme="minorHAnsi" w:cs="Arial"/>
          <w:noProof/>
          <w:color w:val="04326C"/>
          <w:sz w:val="24"/>
        </w:rPr>
        <w:t>707-476-4521</w:t>
      </w:r>
      <w:r w:rsidRPr="00A324A7">
        <w:rPr>
          <w:rFonts w:asciiTheme="minorHAnsi" w:hAnsiTheme="minorHAnsi" w:cs="Arial"/>
          <w:color w:val="04326C"/>
          <w:sz w:val="24"/>
        </w:rPr>
        <w:fldChar w:fldCharType="end"/>
      </w:r>
    </w:p>
    <w:p w14:paraId="4A40551B" w14:textId="3AAE2D10" w:rsidR="00A861CB" w:rsidRPr="00A324A7" w:rsidRDefault="009C284F"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default w:val="Email"/>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8A6842" w:rsidRPr="008A6842">
        <w:rPr>
          <w:rFonts w:asciiTheme="minorHAnsi" w:hAnsiTheme="minorHAnsi" w:cs="Arial"/>
          <w:noProof/>
          <w:color w:val="04326C"/>
          <w:sz w:val="24"/>
        </w:rPr>
        <w:t>margaret-talcott@redwoods.edu</w:t>
      </w:r>
      <w:r w:rsidRPr="00A324A7">
        <w:rPr>
          <w:rFonts w:asciiTheme="minorHAnsi" w:hAnsiTheme="minorHAnsi" w:cs="Arial"/>
          <w:color w:val="04326C"/>
          <w:sz w:val="24"/>
        </w:rPr>
        <w:fldChar w:fldCharType="end"/>
      </w:r>
    </w:p>
    <w:p w14:paraId="2751598A" w14:textId="77777777" w:rsidR="00A861CB" w:rsidRDefault="00A861CB" w:rsidP="00A861CB">
      <w:pPr>
        <w:spacing w:after="0"/>
      </w:pPr>
    </w:p>
    <w:p w14:paraId="420CF003" w14:textId="77777777" w:rsidR="00A861CB" w:rsidRDefault="00A861CB" w:rsidP="00A861CB">
      <w:pPr>
        <w:spacing w:after="0"/>
      </w:pPr>
    </w:p>
    <w:p w14:paraId="6268FF56" w14:textId="77777777" w:rsidR="00A861CB" w:rsidRDefault="00A861CB" w:rsidP="00A861CB">
      <w:pPr>
        <w:spacing w:after="0"/>
      </w:pPr>
    </w:p>
    <w:p w14:paraId="5318EA09" w14:textId="77777777" w:rsidR="00A861CB" w:rsidRDefault="00A861CB" w:rsidP="00A861CB">
      <w:pPr>
        <w:spacing w:after="0"/>
      </w:pPr>
    </w:p>
    <w:p w14:paraId="465C2AFA" w14:textId="77777777" w:rsidR="00A861CB" w:rsidRDefault="00A861CB" w:rsidP="00A861CB">
      <w:pPr>
        <w:spacing w:after="0"/>
      </w:pPr>
    </w:p>
    <w:p w14:paraId="16978D72" w14:textId="77777777" w:rsidR="00A861CB" w:rsidRDefault="00A861CB" w:rsidP="00A861CB">
      <w:pPr>
        <w:spacing w:after="0"/>
      </w:pPr>
    </w:p>
    <w:p w14:paraId="341D959F" w14:textId="77777777" w:rsidR="00A861CB" w:rsidRDefault="00A861CB" w:rsidP="00A861CB">
      <w:pPr>
        <w:spacing w:after="0"/>
      </w:pPr>
    </w:p>
    <w:p w14:paraId="5506CB23" w14:textId="77777777" w:rsidR="00A861CB" w:rsidRDefault="00A861CB" w:rsidP="00A861CB">
      <w:pPr>
        <w:spacing w:after="0"/>
      </w:pPr>
    </w:p>
    <w:p w14:paraId="5ACCBC04" w14:textId="77777777" w:rsidR="00A861CB" w:rsidRDefault="00A861CB" w:rsidP="00A861CB">
      <w:pPr>
        <w:spacing w:after="0"/>
      </w:pPr>
    </w:p>
    <w:p w14:paraId="2616A0AC" w14:textId="77777777" w:rsidR="00A861CB" w:rsidRDefault="00A861CB" w:rsidP="00A861CB">
      <w:pPr>
        <w:spacing w:after="0"/>
      </w:pPr>
    </w:p>
    <w:p w14:paraId="2F634639" w14:textId="77777777" w:rsidR="00A861CB" w:rsidRDefault="00A861CB" w:rsidP="00A861CB">
      <w:pPr>
        <w:spacing w:after="0"/>
      </w:pPr>
    </w:p>
    <w:p w14:paraId="564E2E53" w14:textId="77777777" w:rsidR="00A861CB" w:rsidRDefault="00A861CB" w:rsidP="00A861CB">
      <w:pPr>
        <w:spacing w:after="0"/>
      </w:pPr>
    </w:p>
    <w:p w14:paraId="05E61308" w14:textId="77777777" w:rsidR="00A861CB" w:rsidRDefault="00A861CB" w:rsidP="00A861CB">
      <w:pPr>
        <w:spacing w:after="0"/>
      </w:pPr>
    </w:p>
    <w:p w14:paraId="273A99D5" w14:textId="77777777" w:rsidR="00A861CB" w:rsidRDefault="00A861CB" w:rsidP="00A861CB">
      <w:pPr>
        <w:spacing w:after="0"/>
      </w:pPr>
    </w:p>
    <w:p w14:paraId="51F35D0A" w14:textId="77777777" w:rsidR="00A861CB" w:rsidRDefault="00A861CB" w:rsidP="00A861CB">
      <w:pPr>
        <w:spacing w:after="0"/>
      </w:pPr>
    </w:p>
    <w:p w14:paraId="77764B8E" w14:textId="77777777" w:rsidR="00A861CB" w:rsidRDefault="00A861CB" w:rsidP="00A861CB">
      <w:pPr>
        <w:spacing w:after="0"/>
      </w:pPr>
    </w:p>
    <w:p w14:paraId="34E02357" w14:textId="77777777" w:rsidR="00A861CB" w:rsidRDefault="00A861CB" w:rsidP="00A861CB">
      <w:pPr>
        <w:spacing w:after="0"/>
      </w:pPr>
    </w:p>
    <w:p w14:paraId="6315DB19" w14:textId="77777777" w:rsidR="00A861CB" w:rsidRDefault="00A861CB" w:rsidP="00A861CB">
      <w:pPr>
        <w:spacing w:after="0"/>
      </w:pPr>
    </w:p>
    <w:p w14:paraId="3C00EA80" w14:textId="77777777" w:rsidR="00A861CB" w:rsidRDefault="00A861CB" w:rsidP="00A861CB">
      <w:pPr>
        <w:spacing w:after="0"/>
      </w:pPr>
    </w:p>
    <w:p w14:paraId="151BEC27" w14:textId="77777777" w:rsidR="00A861CB" w:rsidRDefault="00A861CB" w:rsidP="00A861CB">
      <w:pPr>
        <w:spacing w:after="0"/>
      </w:pPr>
    </w:p>
    <w:p w14:paraId="77A35FFA" w14:textId="77777777" w:rsidR="00A861CB" w:rsidRDefault="00A861CB" w:rsidP="00A861CB">
      <w:pPr>
        <w:spacing w:after="0"/>
      </w:pPr>
    </w:p>
    <w:p w14:paraId="771C336E" w14:textId="700A6BD9" w:rsidR="00A861CB" w:rsidRDefault="00A861CB" w:rsidP="00A861CB">
      <w:pPr>
        <w:spacing w:after="0"/>
      </w:pPr>
      <w:r>
        <w:t>Submitted</w:t>
      </w:r>
      <w:r w:rsidR="00775D42">
        <w:t>:</w:t>
      </w:r>
    </w:p>
    <w:p w14:paraId="13A324F4" w14:textId="299D98A7" w:rsidR="00A861CB" w:rsidRPr="00A324A7" w:rsidRDefault="00A861CB" w:rsidP="00A861CB">
      <w:pPr>
        <w:spacing w:after="0"/>
        <w:rPr>
          <w:rFonts w:asciiTheme="minorHAnsi" w:hAnsiTheme="minorHAnsi" w:cs="Arial"/>
          <w:color w:val="04326C"/>
          <w:sz w:val="24"/>
        </w:rPr>
      </w:pPr>
      <w:r w:rsidRPr="00A324A7">
        <w:rPr>
          <w:rFonts w:asciiTheme="minorHAnsi" w:hAnsiTheme="minorHAnsi" w:cs="Arial"/>
          <w:color w:val="04326C"/>
          <w:sz w:val="24"/>
        </w:rPr>
        <w:fldChar w:fldCharType="begin">
          <w:ffData>
            <w:name w:val=""/>
            <w:enabled/>
            <w:calcOnExit w:val="0"/>
            <w:textInput>
              <w:type w:val="date"/>
              <w:format w:val="M/d/yy"/>
            </w:textInput>
          </w:ffData>
        </w:fldChar>
      </w:r>
      <w:r w:rsidRPr="00A324A7">
        <w:rPr>
          <w:rFonts w:asciiTheme="minorHAnsi" w:hAnsiTheme="minorHAnsi" w:cs="Arial"/>
          <w:color w:val="04326C"/>
          <w:sz w:val="24"/>
        </w:rPr>
        <w:instrText xml:space="preserve"> FORMTEXT </w:instrText>
      </w:r>
      <w:r w:rsidRPr="00A324A7">
        <w:rPr>
          <w:rFonts w:asciiTheme="minorHAnsi" w:hAnsiTheme="minorHAnsi" w:cs="Arial"/>
          <w:color w:val="04326C"/>
          <w:sz w:val="24"/>
        </w:rPr>
      </w:r>
      <w:r w:rsidRPr="00A324A7">
        <w:rPr>
          <w:rFonts w:asciiTheme="minorHAnsi" w:hAnsiTheme="minorHAnsi" w:cs="Arial"/>
          <w:color w:val="04326C"/>
          <w:sz w:val="24"/>
        </w:rPr>
        <w:fldChar w:fldCharType="separate"/>
      </w:r>
      <w:r w:rsidR="006C2CDB">
        <w:rPr>
          <w:rFonts w:asciiTheme="minorHAnsi" w:hAnsiTheme="minorHAnsi" w:cs="Arial"/>
          <w:color w:val="04326C"/>
          <w:sz w:val="24"/>
        </w:rPr>
        <w:t>6/6/19</w:t>
      </w:r>
      <w:r w:rsidRPr="00A324A7">
        <w:rPr>
          <w:rFonts w:asciiTheme="minorHAnsi" w:hAnsiTheme="minorHAnsi" w:cs="Arial"/>
          <w:color w:val="04326C"/>
          <w:sz w:val="24"/>
        </w:rPr>
        <w:fldChar w:fldCharType="end"/>
      </w:r>
    </w:p>
    <w:p w14:paraId="710C99F5" w14:textId="77777777" w:rsidR="00A861CB" w:rsidRDefault="00A861CB" w:rsidP="00A861CB">
      <w:pPr>
        <w:spacing w:after="0"/>
      </w:pPr>
    </w:p>
    <w:p w14:paraId="52C49A1A" w14:textId="715C259F" w:rsidR="009C284F" w:rsidRPr="00A861CB" w:rsidRDefault="009C284F" w:rsidP="00A861CB">
      <w:pPr>
        <w:spacing w:after="0"/>
        <w:rPr>
          <w:rFonts w:asciiTheme="minorHAnsi" w:hAnsiTheme="minorHAnsi" w:cs="Arial"/>
          <w:color w:val="0070C0"/>
          <w:sz w:val="24"/>
        </w:rPr>
      </w:pPr>
      <w:r>
        <w:br w:type="page"/>
      </w:r>
    </w:p>
    <w:sdt>
      <w:sdtPr>
        <w:rPr>
          <w:rFonts w:cs="Lato"/>
          <w:color w:val="404040" w:themeColor="text1" w:themeTint="BF"/>
          <w:sz w:val="22"/>
          <w:szCs w:val="22"/>
        </w:rPr>
        <w:id w:val="-233626198"/>
        <w:docPartObj>
          <w:docPartGallery w:val="Table of Contents"/>
          <w:docPartUnique/>
        </w:docPartObj>
      </w:sdtPr>
      <w:sdtEndPr>
        <w:rPr>
          <w:b/>
          <w:bCs/>
          <w:noProof/>
        </w:rPr>
      </w:sdtEndPr>
      <w:sdtContent>
        <w:p w14:paraId="2AEF4CEE" w14:textId="26457C77" w:rsidR="006117E8" w:rsidRPr="001E3A1C" w:rsidRDefault="006117E8" w:rsidP="001E3A1C">
          <w:pPr>
            <w:pStyle w:val="TOCHeading"/>
          </w:pPr>
          <w:r w:rsidRPr="001E3A1C">
            <w:t>Table of Contents</w:t>
          </w:r>
        </w:p>
        <w:p w14:paraId="0AB7B068" w14:textId="7BA399C7" w:rsidR="00D6478F" w:rsidRDefault="006117E8">
          <w:pPr>
            <w:pStyle w:val="TOC1"/>
            <w:rPr>
              <w:rFonts w:eastAsiaTheme="minorEastAsia" w:cstheme="minorBidi"/>
              <w:b w:val="0"/>
              <w:bCs w:val="0"/>
              <w:iCs w:val="0"/>
              <w:color w:val="auto"/>
            </w:rPr>
          </w:pPr>
          <w:r>
            <w:fldChar w:fldCharType="begin"/>
          </w:r>
          <w:r>
            <w:instrText xml:space="preserve"> TOC \o "1-3" \h \z \u </w:instrText>
          </w:r>
          <w:r>
            <w:fldChar w:fldCharType="separate"/>
          </w:r>
          <w:hyperlink w:anchor="_Toc527969651" w:history="1">
            <w:r w:rsidR="00D6478F" w:rsidRPr="00764F8C">
              <w:rPr>
                <w:rStyle w:val="Hyperlink"/>
              </w:rPr>
              <w:t>Section 1: Consortium Information</w:t>
            </w:r>
            <w:r w:rsidR="00D6478F">
              <w:rPr>
                <w:webHidden/>
              </w:rPr>
              <w:tab/>
            </w:r>
            <w:r w:rsidR="00D6478F">
              <w:rPr>
                <w:webHidden/>
              </w:rPr>
              <w:fldChar w:fldCharType="begin"/>
            </w:r>
            <w:r w:rsidR="00D6478F">
              <w:rPr>
                <w:webHidden/>
              </w:rPr>
              <w:instrText xml:space="preserve"> PAGEREF _Toc527969651 \h </w:instrText>
            </w:r>
            <w:r w:rsidR="00D6478F">
              <w:rPr>
                <w:webHidden/>
              </w:rPr>
            </w:r>
            <w:r w:rsidR="00D6478F">
              <w:rPr>
                <w:webHidden/>
              </w:rPr>
              <w:fldChar w:fldCharType="separate"/>
            </w:r>
            <w:r w:rsidR="008A6842">
              <w:rPr>
                <w:webHidden/>
              </w:rPr>
              <w:t>i</w:t>
            </w:r>
            <w:r w:rsidR="00D6478F">
              <w:rPr>
                <w:webHidden/>
              </w:rPr>
              <w:fldChar w:fldCharType="end"/>
            </w:r>
          </w:hyperlink>
        </w:p>
        <w:p w14:paraId="43F729F9" w14:textId="538DAF8F" w:rsidR="00D6478F" w:rsidRDefault="00BF3A85">
          <w:pPr>
            <w:pStyle w:val="TOC1"/>
            <w:rPr>
              <w:rFonts w:eastAsiaTheme="minorEastAsia" w:cstheme="minorBidi"/>
              <w:b w:val="0"/>
              <w:bCs w:val="0"/>
              <w:iCs w:val="0"/>
              <w:color w:val="auto"/>
            </w:rPr>
          </w:pPr>
          <w:hyperlink w:anchor="_Toc527969652" w:history="1">
            <w:r w:rsidR="00D6478F" w:rsidRPr="00764F8C">
              <w:rPr>
                <w:rStyle w:val="Hyperlink"/>
              </w:rPr>
              <w:t>Section 2: Comprehensive Regional Three-Year Plan</w:t>
            </w:r>
            <w:r w:rsidR="00D6478F">
              <w:rPr>
                <w:webHidden/>
              </w:rPr>
              <w:tab/>
            </w:r>
            <w:r w:rsidR="00D6478F">
              <w:rPr>
                <w:webHidden/>
              </w:rPr>
              <w:fldChar w:fldCharType="begin"/>
            </w:r>
            <w:r w:rsidR="00D6478F">
              <w:rPr>
                <w:webHidden/>
              </w:rPr>
              <w:instrText xml:space="preserve"> PAGEREF _Toc527969652 \h </w:instrText>
            </w:r>
            <w:r w:rsidR="00D6478F">
              <w:rPr>
                <w:webHidden/>
              </w:rPr>
            </w:r>
            <w:r w:rsidR="00D6478F">
              <w:rPr>
                <w:webHidden/>
              </w:rPr>
              <w:fldChar w:fldCharType="separate"/>
            </w:r>
            <w:r w:rsidR="008A6842">
              <w:rPr>
                <w:webHidden/>
              </w:rPr>
              <w:t>1</w:t>
            </w:r>
            <w:r w:rsidR="00D6478F">
              <w:rPr>
                <w:webHidden/>
              </w:rPr>
              <w:fldChar w:fldCharType="end"/>
            </w:r>
          </w:hyperlink>
        </w:p>
        <w:p w14:paraId="7C120507" w14:textId="5629800F" w:rsidR="00D6478F" w:rsidRDefault="00BF3A85">
          <w:pPr>
            <w:pStyle w:val="TOC2"/>
            <w:tabs>
              <w:tab w:val="right" w:leader="dot" w:pos="9350"/>
            </w:tabs>
            <w:rPr>
              <w:rFonts w:eastAsiaTheme="minorEastAsia" w:cstheme="minorBidi"/>
              <w:b w:val="0"/>
              <w:bCs w:val="0"/>
              <w:noProof/>
              <w:color w:val="auto"/>
              <w:sz w:val="24"/>
              <w:szCs w:val="24"/>
            </w:rPr>
          </w:pPr>
          <w:hyperlink w:anchor="_Toc527969653" w:history="1">
            <w:r w:rsidR="00D6478F" w:rsidRPr="00764F8C">
              <w:rPr>
                <w:rStyle w:val="Hyperlink"/>
                <w:noProof/>
              </w:rPr>
              <w:t>2.1 Executive Summary</w:t>
            </w:r>
            <w:r w:rsidR="00D6478F">
              <w:rPr>
                <w:noProof/>
                <w:webHidden/>
              </w:rPr>
              <w:tab/>
            </w:r>
            <w:r w:rsidR="00D6478F">
              <w:rPr>
                <w:noProof/>
                <w:webHidden/>
              </w:rPr>
              <w:fldChar w:fldCharType="begin"/>
            </w:r>
            <w:r w:rsidR="00D6478F">
              <w:rPr>
                <w:noProof/>
                <w:webHidden/>
              </w:rPr>
              <w:instrText xml:space="preserve"> PAGEREF _Toc527969653 \h </w:instrText>
            </w:r>
            <w:r w:rsidR="00D6478F">
              <w:rPr>
                <w:noProof/>
                <w:webHidden/>
              </w:rPr>
            </w:r>
            <w:r w:rsidR="00D6478F">
              <w:rPr>
                <w:noProof/>
                <w:webHidden/>
              </w:rPr>
              <w:fldChar w:fldCharType="separate"/>
            </w:r>
            <w:r w:rsidR="008A6842">
              <w:rPr>
                <w:noProof/>
                <w:webHidden/>
              </w:rPr>
              <w:t>1</w:t>
            </w:r>
            <w:r w:rsidR="00D6478F">
              <w:rPr>
                <w:noProof/>
                <w:webHidden/>
              </w:rPr>
              <w:fldChar w:fldCharType="end"/>
            </w:r>
          </w:hyperlink>
        </w:p>
        <w:p w14:paraId="5A57D9FF" w14:textId="770381B1" w:rsidR="00D6478F" w:rsidRDefault="00BF3A85">
          <w:pPr>
            <w:pStyle w:val="TOC2"/>
            <w:tabs>
              <w:tab w:val="right" w:leader="dot" w:pos="9350"/>
            </w:tabs>
            <w:rPr>
              <w:rFonts w:eastAsiaTheme="minorEastAsia" w:cstheme="minorBidi"/>
              <w:b w:val="0"/>
              <w:bCs w:val="0"/>
              <w:noProof/>
              <w:color w:val="auto"/>
              <w:sz w:val="24"/>
              <w:szCs w:val="24"/>
            </w:rPr>
          </w:pPr>
          <w:hyperlink w:anchor="_Toc527969654" w:history="1">
            <w:r w:rsidR="00D6478F" w:rsidRPr="00764F8C">
              <w:rPr>
                <w:rStyle w:val="Hyperlink"/>
                <w:noProof/>
              </w:rPr>
              <w:t>2.2 Pre-Planning Assessment</w:t>
            </w:r>
            <w:r w:rsidR="00D6478F">
              <w:rPr>
                <w:noProof/>
                <w:webHidden/>
              </w:rPr>
              <w:tab/>
            </w:r>
            <w:r w:rsidR="00D6478F">
              <w:rPr>
                <w:noProof/>
                <w:webHidden/>
              </w:rPr>
              <w:fldChar w:fldCharType="begin"/>
            </w:r>
            <w:r w:rsidR="00D6478F">
              <w:rPr>
                <w:noProof/>
                <w:webHidden/>
              </w:rPr>
              <w:instrText xml:space="preserve"> PAGEREF _Toc527969654 \h </w:instrText>
            </w:r>
            <w:r w:rsidR="00D6478F">
              <w:rPr>
                <w:noProof/>
                <w:webHidden/>
              </w:rPr>
            </w:r>
            <w:r w:rsidR="00D6478F">
              <w:rPr>
                <w:noProof/>
                <w:webHidden/>
              </w:rPr>
              <w:fldChar w:fldCharType="separate"/>
            </w:r>
            <w:r w:rsidR="008A6842">
              <w:rPr>
                <w:noProof/>
                <w:webHidden/>
              </w:rPr>
              <w:t>2</w:t>
            </w:r>
            <w:r w:rsidR="00D6478F">
              <w:rPr>
                <w:noProof/>
                <w:webHidden/>
              </w:rPr>
              <w:fldChar w:fldCharType="end"/>
            </w:r>
          </w:hyperlink>
          <w:r w:rsidR="008A6842">
            <w:rPr>
              <w:noProof/>
            </w:rPr>
            <w:t>,3</w:t>
          </w:r>
        </w:p>
        <w:p w14:paraId="77530099" w14:textId="140B5811" w:rsidR="00D6478F" w:rsidRDefault="00BF3A85">
          <w:pPr>
            <w:pStyle w:val="TOC3"/>
            <w:tabs>
              <w:tab w:val="right" w:leader="dot" w:pos="9350"/>
            </w:tabs>
            <w:rPr>
              <w:rFonts w:eastAsiaTheme="minorEastAsia" w:cstheme="minorBidi"/>
              <w:noProof/>
              <w:color w:val="auto"/>
              <w:sz w:val="24"/>
              <w:szCs w:val="24"/>
            </w:rPr>
          </w:pPr>
          <w:hyperlink w:anchor="_Toc527969655" w:history="1">
            <w:r w:rsidR="00D6478F" w:rsidRPr="00764F8C">
              <w:rPr>
                <w:rStyle w:val="Hyperlink"/>
                <w:noProof/>
              </w:rPr>
              <w:t>Table 1. Regional Service Providers</w:t>
            </w:r>
            <w:r w:rsidR="00D6478F">
              <w:rPr>
                <w:noProof/>
                <w:webHidden/>
              </w:rPr>
              <w:tab/>
            </w:r>
            <w:r w:rsidR="008A6842">
              <w:rPr>
                <w:noProof/>
                <w:webHidden/>
              </w:rPr>
              <w:t>4</w:t>
            </w:r>
          </w:hyperlink>
        </w:p>
        <w:p w14:paraId="464ADC2D" w14:textId="2E19F2CF" w:rsidR="00D6478F" w:rsidRDefault="00BF3A85">
          <w:pPr>
            <w:pStyle w:val="TOC3"/>
            <w:tabs>
              <w:tab w:val="right" w:leader="dot" w:pos="9350"/>
            </w:tabs>
            <w:rPr>
              <w:rFonts w:eastAsiaTheme="minorEastAsia" w:cstheme="minorBidi"/>
              <w:noProof/>
              <w:color w:val="auto"/>
              <w:sz w:val="24"/>
              <w:szCs w:val="24"/>
            </w:rPr>
          </w:pPr>
          <w:hyperlink w:anchor="_Toc527969656" w:history="1">
            <w:r w:rsidR="00D6478F" w:rsidRPr="00764F8C">
              <w:rPr>
                <w:rStyle w:val="Hyperlink"/>
                <w:noProof/>
              </w:rPr>
              <w:t>Table 2. Funding for Adult Education Programs and Services</w:t>
            </w:r>
            <w:r w:rsidR="00D6478F">
              <w:rPr>
                <w:noProof/>
                <w:webHidden/>
              </w:rPr>
              <w:tab/>
            </w:r>
            <w:r w:rsidR="008A6842">
              <w:rPr>
                <w:noProof/>
                <w:webHidden/>
              </w:rPr>
              <w:t>5</w:t>
            </w:r>
          </w:hyperlink>
        </w:p>
        <w:p w14:paraId="40ED8815" w14:textId="1A7F0084" w:rsidR="00D6478F" w:rsidRDefault="00BF3A85">
          <w:pPr>
            <w:pStyle w:val="TOC2"/>
            <w:tabs>
              <w:tab w:val="right" w:leader="dot" w:pos="9350"/>
            </w:tabs>
            <w:rPr>
              <w:rFonts w:eastAsiaTheme="minorEastAsia" w:cstheme="minorBidi"/>
              <w:b w:val="0"/>
              <w:bCs w:val="0"/>
              <w:noProof/>
              <w:color w:val="auto"/>
              <w:sz w:val="24"/>
              <w:szCs w:val="24"/>
            </w:rPr>
          </w:pPr>
          <w:hyperlink w:anchor="_Toc527969657" w:history="1">
            <w:r w:rsidR="00D6478F" w:rsidRPr="00764F8C">
              <w:rPr>
                <w:rStyle w:val="Hyperlink"/>
                <w:noProof/>
              </w:rPr>
              <w:t>2.3 Community Need and Customers</w:t>
            </w:r>
            <w:r w:rsidR="00D6478F">
              <w:rPr>
                <w:noProof/>
                <w:webHidden/>
              </w:rPr>
              <w:tab/>
            </w:r>
            <w:r w:rsidR="008A6842">
              <w:rPr>
                <w:noProof/>
                <w:webHidden/>
              </w:rPr>
              <w:t>6,7</w:t>
            </w:r>
          </w:hyperlink>
        </w:p>
        <w:p w14:paraId="738A7062" w14:textId="0E08E3E2" w:rsidR="00D6478F" w:rsidRDefault="00BF3A85">
          <w:pPr>
            <w:pStyle w:val="TOC2"/>
            <w:tabs>
              <w:tab w:val="right" w:leader="dot" w:pos="9350"/>
            </w:tabs>
            <w:rPr>
              <w:rFonts w:eastAsiaTheme="minorEastAsia" w:cstheme="minorBidi"/>
              <w:b w:val="0"/>
              <w:bCs w:val="0"/>
              <w:noProof/>
              <w:color w:val="auto"/>
              <w:sz w:val="24"/>
              <w:szCs w:val="24"/>
            </w:rPr>
          </w:pPr>
          <w:hyperlink w:anchor="_Toc527969658" w:history="1">
            <w:r w:rsidR="00D6478F" w:rsidRPr="00764F8C">
              <w:rPr>
                <w:rStyle w:val="Hyperlink"/>
                <w:noProof/>
              </w:rPr>
              <w:t>2.4 Identifying Goals and Strategies</w:t>
            </w:r>
            <w:r w:rsidR="00D6478F">
              <w:rPr>
                <w:noProof/>
                <w:webHidden/>
              </w:rPr>
              <w:tab/>
            </w:r>
            <w:r w:rsidR="008A6842">
              <w:rPr>
                <w:noProof/>
                <w:webHidden/>
              </w:rPr>
              <w:t>8</w:t>
            </w:r>
          </w:hyperlink>
        </w:p>
        <w:p w14:paraId="210648E1" w14:textId="3F31C595" w:rsidR="00D6478F" w:rsidRDefault="00BF3A85">
          <w:pPr>
            <w:pStyle w:val="TOC3"/>
            <w:tabs>
              <w:tab w:val="right" w:leader="dot" w:pos="9350"/>
            </w:tabs>
            <w:rPr>
              <w:rFonts w:eastAsiaTheme="minorEastAsia" w:cstheme="minorBidi"/>
              <w:noProof/>
              <w:color w:val="auto"/>
              <w:sz w:val="24"/>
              <w:szCs w:val="24"/>
            </w:rPr>
          </w:pPr>
          <w:hyperlink w:anchor="_Toc527969659" w:history="1">
            <w:r w:rsidR="00D6478F" w:rsidRPr="00764F8C">
              <w:rPr>
                <w:rStyle w:val="Hyperlink"/>
                <w:noProof/>
              </w:rPr>
              <w:t>Figure 1. Logic Model</w:t>
            </w:r>
            <w:r w:rsidR="00D6478F">
              <w:rPr>
                <w:noProof/>
                <w:webHidden/>
              </w:rPr>
              <w:tab/>
            </w:r>
            <w:r w:rsidR="008A6842">
              <w:rPr>
                <w:noProof/>
                <w:webHidden/>
              </w:rPr>
              <w:t>9</w:t>
            </w:r>
          </w:hyperlink>
        </w:p>
        <w:p w14:paraId="09269B29" w14:textId="2761C082" w:rsidR="00D6478F" w:rsidRDefault="00BF3A85">
          <w:pPr>
            <w:pStyle w:val="TOC3"/>
            <w:tabs>
              <w:tab w:val="right" w:leader="dot" w:pos="9350"/>
            </w:tabs>
            <w:rPr>
              <w:rFonts w:eastAsiaTheme="minorEastAsia" w:cstheme="minorBidi"/>
              <w:noProof/>
              <w:color w:val="auto"/>
              <w:sz w:val="24"/>
              <w:szCs w:val="24"/>
            </w:rPr>
          </w:pPr>
          <w:hyperlink w:anchor="_Toc527969660" w:history="1">
            <w:r w:rsidR="00D6478F" w:rsidRPr="00764F8C">
              <w:rPr>
                <w:rStyle w:val="Hyperlink"/>
                <w:noProof/>
              </w:rPr>
              <w:t>Table 3. Progress Indicators</w:t>
            </w:r>
            <w:r w:rsidR="00D6478F">
              <w:rPr>
                <w:noProof/>
                <w:webHidden/>
              </w:rPr>
              <w:tab/>
            </w:r>
            <w:r w:rsidR="008A6842">
              <w:rPr>
                <w:noProof/>
                <w:webHidden/>
              </w:rPr>
              <w:t>10</w:t>
            </w:r>
          </w:hyperlink>
        </w:p>
        <w:p w14:paraId="291B28F2" w14:textId="12087397" w:rsidR="00D6478F" w:rsidRDefault="00BF3A85">
          <w:pPr>
            <w:pStyle w:val="TOC2"/>
            <w:tabs>
              <w:tab w:val="right" w:leader="dot" w:pos="9350"/>
            </w:tabs>
            <w:rPr>
              <w:rFonts w:eastAsiaTheme="minorEastAsia" w:cstheme="minorBidi"/>
              <w:b w:val="0"/>
              <w:bCs w:val="0"/>
              <w:noProof/>
              <w:color w:val="auto"/>
              <w:sz w:val="24"/>
              <w:szCs w:val="24"/>
            </w:rPr>
          </w:pPr>
          <w:hyperlink w:anchor="_Toc527969661" w:history="1">
            <w:r w:rsidR="00D6478F" w:rsidRPr="00764F8C">
              <w:rPr>
                <w:rStyle w:val="Hyperlink"/>
                <w:noProof/>
              </w:rPr>
              <w:t>2.5 Piloting and Implementation</w:t>
            </w:r>
            <w:r w:rsidR="00D6478F">
              <w:rPr>
                <w:noProof/>
                <w:webHidden/>
              </w:rPr>
              <w:tab/>
            </w:r>
            <w:r w:rsidR="008A6842">
              <w:rPr>
                <w:noProof/>
                <w:webHidden/>
              </w:rPr>
              <w:t>11</w:t>
            </w:r>
          </w:hyperlink>
        </w:p>
        <w:p w14:paraId="39671AE8" w14:textId="6E8F4E31" w:rsidR="006117E8" w:rsidRDefault="006117E8">
          <w:r>
            <w:rPr>
              <w:b/>
              <w:bCs/>
              <w:noProof/>
            </w:rPr>
            <w:fldChar w:fldCharType="end"/>
          </w:r>
        </w:p>
      </w:sdtContent>
    </w:sdt>
    <w:p w14:paraId="6814F1BB" w14:textId="77777777" w:rsidR="00603443" w:rsidRDefault="00603443" w:rsidP="00600745">
      <w:pPr>
        <w:pStyle w:val="Heading1"/>
        <w:rPr>
          <w:rFonts w:cstheme="majorHAnsi"/>
        </w:rPr>
        <w:sectPr w:rsidR="00603443" w:rsidSect="00603443">
          <w:headerReference w:type="default" r:id="rId11"/>
          <w:footerReference w:type="default" r:id="rId12"/>
          <w:headerReference w:type="first" r:id="rId13"/>
          <w:footerReference w:type="first" r:id="rId14"/>
          <w:pgSz w:w="12240" w:h="15840"/>
          <w:pgMar w:top="1739" w:right="1440" w:bottom="1440" w:left="1440" w:header="720" w:footer="720" w:gutter="0"/>
          <w:pgNumType w:fmt="lowerRoman" w:start="1"/>
          <w:cols w:space="720"/>
          <w:titlePg/>
          <w:docGrid w:linePitch="299"/>
        </w:sectPr>
      </w:pPr>
    </w:p>
    <w:p w14:paraId="5B089587" w14:textId="1377701E" w:rsidR="00600745" w:rsidRPr="003711FD" w:rsidRDefault="00600745" w:rsidP="00600745">
      <w:pPr>
        <w:pStyle w:val="Heading1"/>
        <w:rPr>
          <w:rFonts w:cstheme="majorHAnsi"/>
        </w:rPr>
      </w:pPr>
      <w:bookmarkStart w:id="3" w:name="_Toc527969652"/>
      <w:r w:rsidRPr="003711FD">
        <w:rPr>
          <w:rFonts w:cstheme="majorHAnsi"/>
        </w:rPr>
        <w:lastRenderedPageBreak/>
        <w:t>Section</w:t>
      </w:r>
      <w:r>
        <w:rPr>
          <w:rFonts w:cstheme="majorHAnsi"/>
        </w:rPr>
        <w:t xml:space="preserve"> </w:t>
      </w:r>
      <w:r w:rsidRPr="003711FD">
        <w:rPr>
          <w:rFonts w:cstheme="majorHAnsi"/>
        </w:rPr>
        <w:t>2:</w:t>
      </w:r>
      <w:r>
        <w:rPr>
          <w:rFonts w:cstheme="majorHAnsi"/>
        </w:rPr>
        <w:t xml:space="preserve"> </w:t>
      </w:r>
      <w:r w:rsidRPr="003711FD">
        <w:rPr>
          <w:rFonts w:cstheme="majorHAnsi"/>
        </w:rPr>
        <w:t>Comprehensive</w:t>
      </w:r>
      <w:r>
        <w:rPr>
          <w:rFonts w:cstheme="majorHAnsi"/>
        </w:rPr>
        <w:t xml:space="preserve"> </w:t>
      </w:r>
      <w:r w:rsidRPr="003711FD">
        <w:rPr>
          <w:rFonts w:cstheme="majorHAnsi"/>
        </w:rPr>
        <w:t>Regional</w:t>
      </w:r>
      <w:r>
        <w:rPr>
          <w:rFonts w:cstheme="majorHAnsi"/>
        </w:rPr>
        <w:t xml:space="preserve"> </w:t>
      </w:r>
      <w:r w:rsidRPr="003711FD">
        <w:rPr>
          <w:rFonts w:cstheme="majorHAnsi"/>
        </w:rPr>
        <w:t>Three-Year</w:t>
      </w:r>
      <w:r>
        <w:rPr>
          <w:rFonts w:cstheme="majorHAnsi"/>
        </w:rPr>
        <w:t xml:space="preserve"> </w:t>
      </w:r>
      <w:r w:rsidRPr="003711FD">
        <w:rPr>
          <w:rFonts w:cstheme="majorHAnsi"/>
        </w:rPr>
        <w:t>Plan</w:t>
      </w:r>
      <w:bookmarkEnd w:id="3"/>
    </w:p>
    <w:p w14:paraId="735D3189" w14:textId="25EA13F7" w:rsidR="00600745" w:rsidRPr="00C94148" w:rsidRDefault="00600745" w:rsidP="007C5BD1">
      <w:pPr>
        <w:pStyle w:val="Heading2"/>
      </w:pPr>
      <w:bookmarkStart w:id="4" w:name="_pbya56jnk6al" w:colFirst="0" w:colLast="0"/>
      <w:bookmarkStart w:id="5" w:name="_Toc527969653"/>
      <w:bookmarkEnd w:id="4"/>
      <w:r w:rsidRPr="00C94148">
        <w:t>2.1 Executive Summary</w:t>
      </w:r>
      <w:bookmarkEnd w:id="5"/>
    </w:p>
    <w:p w14:paraId="19F06B37" w14:textId="77777777" w:rsidR="00A41729" w:rsidRPr="00A41729" w:rsidRDefault="00D95331" w:rsidP="00A41729">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bookmarkStart w:id="6" w:name="txt2_1"/>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1729" w:rsidRPr="00A41729">
        <w:rPr>
          <w:rFonts w:asciiTheme="minorHAnsi" w:hAnsiTheme="minorHAnsi" w:cs="Arial"/>
          <w:noProof/>
          <w:color w:val="04326C"/>
          <w:sz w:val="20"/>
        </w:rPr>
        <w:t>The North Coast Adult Education Consortium (NCAEC), serves all of Humboldt and Del Norte Counties as well as parts of several neighboring counties. Membership includes three K-12 Districts, one Community College District, and the Humboldt County Sheriff’s Office. Various other K-12 Districts, community agencies, and adult education supporters partner and collaborate with the Consortium.</w:t>
      </w:r>
    </w:p>
    <w:p w14:paraId="374DE86F"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Previous partnerships of our members in various efforts on the North Coast are the foundation for working together and have been leveraged to strengthen the role of education and workforce training. With the collaboration of schools districts, business partners, and county agencies, the services for Adult Education will be prioritized and aligned to meet the regional needs according to the California Adult Education Program (CAEP).</w:t>
      </w:r>
    </w:p>
    <w:p w14:paraId="42DAC0CB"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NCAEC will offer adult education classes at locations geographically accessible to learners within the consortium region. Based on identified workforce needs, member’s classes will increase educational attainment and career success by providing the preparation and skills needed for employment, continuing post-secondary education, and personal growth of the residents of our region.</w:t>
      </w:r>
    </w:p>
    <w:p w14:paraId="5D22F6BF"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 xml:space="preserve">Through the work of NCAEC, we have come together to identify the adult education needs and resources in our region. We have determined that we have significant needs, the expertise to develop effective programs, and a strong desire by all members to see a robust adult education offering in our region. </w:t>
      </w:r>
    </w:p>
    <w:p w14:paraId="2160F6C6" w14:textId="0440559C"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The partnerships we developed, as we worked together to advance the shared vision and plan, will lead to integrated educational pathways, increased</w:t>
      </w:r>
      <w:r>
        <w:rPr>
          <w:rFonts w:asciiTheme="minorHAnsi" w:hAnsiTheme="minorHAnsi" w:cs="Arial"/>
          <w:noProof/>
          <w:color w:val="04326C"/>
          <w:sz w:val="20"/>
        </w:rPr>
        <w:t xml:space="preserve"> </w:t>
      </w:r>
      <w:r w:rsidRPr="00A41729">
        <w:rPr>
          <w:rFonts w:asciiTheme="minorHAnsi" w:hAnsiTheme="minorHAnsi" w:cs="Arial"/>
          <w:noProof/>
          <w:color w:val="04326C"/>
          <w:sz w:val="20"/>
        </w:rPr>
        <w:t xml:space="preserve">educational opportunities, and improved ability to address the varied needs of our collective adult learners. College of the Redwoods (CR) will continue to be the fiscal agent, and the consortium will continue to make decisions for the region with the involvement of workgroup partners throughout the region. </w:t>
      </w:r>
    </w:p>
    <w:p w14:paraId="200CB7E9" w14:textId="69D589BD" w:rsidR="00D95331" w:rsidRPr="00A324A7" w:rsidRDefault="00A41729" w:rsidP="00A41729">
      <w:pPr>
        <w:rPr>
          <w:rFonts w:asciiTheme="minorHAnsi" w:hAnsiTheme="minorHAnsi" w:cs="Arial"/>
          <w:color w:val="04326C"/>
        </w:rPr>
      </w:pPr>
      <w:r w:rsidRPr="00A41729">
        <w:rPr>
          <w:rFonts w:asciiTheme="minorHAnsi" w:hAnsiTheme="minorHAnsi" w:cs="Arial"/>
          <w:noProof/>
          <w:color w:val="04326C"/>
          <w:sz w:val="20"/>
        </w:rPr>
        <w:t>The consortium will identify best practices around the State to determine how to best collaborate to meet the needs of as many adult learners within our service area as possible. Specifically, we will 1) increase curriculum alignment of courses</w:t>
      </w:r>
      <w:r>
        <w:rPr>
          <w:rFonts w:asciiTheme="minorHAnsi" w:hAnsiTheme="minorHAnsi" w:cs="Arial"/>
          <w:noProof/>
          <w:color w:val="04326C"/>
          <w:sz w:val="20"/>
        </w:rPr>
        <w:t xml:space="preserve"> </w:t>
      </w:r>
      <w:r w:rsidRPr="00A41729">
        <w:rPr>
          <w:rFonts w:asciiTheme="minorHAnsi" w:hAnsiTheme="minorHAnsi" w:cs="Arial"/>
          <w:noProof/>
          <w:color w:val="04326C"/>
          <w:sz w:val="20"/>
        </w:rPr>
        <w:t xml:space="preserve">between consortia members and partners, to support adult learner goals of employment, career, and post-secondary training, 2) reach students in rural and remote communities, 3) </w:t>
      </w:r>
      <w:r w:rsidR="00B24931">
        <w:rPr>
          <w:rFonts w:asciiTheme="minorHAnsi" w:hAnsiTheme="minorHAnsi" w:cs="Arial"/>
          <w:noProof/>
          <w:color w:val="04326C"/>
          <w:sz w:val="20"/>
        </w:rPr>
        <w:t>i</w:t>
      </w:r>
      <w:r w:rsidRPr="00A41729">
        <w:rPr>
          <w:rFonts w:asciiTheme="minorHAnsi" w:hAnsiTheme="minorHAnsi" w:cs="Arial"/>
          <w:noProof/>
          <w:color w:val="04326C"/>
          <w:sz w:val="20"/>
        </w:rPr>
        <w:t xml:space="preserve">ncrease student participation and persistence, 4) </w:t>
      </w:r>
      <w:r w:rsidR="00B24931">
        <w:rPr>
          <w:rFonts w:asciiTheme="minorHAnsi" w:hAnsiTheme="minorHAnsi" w:cs="Arial"/>
          <w:noProof/>
          <w:color w:val="04326C"/>
          <w:sz w:val="20"/>
        </w:rPr>
        <w:t>i</w:t>
      </w:r>
      <w:bookmarkStart w:id="7" w:name="_GoBack"/>
      <w:bookmarkEnd w:id="7"/>
      <w:r w:rsidRPr="00A41729">
        <w:rPr>
          <w:rFonts w:asciiTheme="minorHAnsi" w:hAnsiTheme="minorHAnsi" w:cs="Arial"/>
          <w:noProof/>
          <w:color w:val="04326C"/>
          <w:sz w:val="20"/>
        </w:rPr>
        <w:t>ncrease the collection of student data; and, utilize the data to drive decision making.</w:t>
      </w:r>
      <w:r w:rsidR="00D95331" w:rsidRPr="00A324A7">
        <w:rPr>
          <w:rFonts w:asciiTheme="minorHAnsi" w:hAnsiTheme="minorHAnsi" w:cs="Arial"/>
          <w:color w:val="04326C"/>
          <w:sz w:val="20"/>
        </w:rPr>
        <w:fldChar w:fldCharType="end"/>
      </w:r>
      <w:bookmarkEnd w:id="6"/>
    </w:p>
    <w:p w14:paraId="0C403450" w14:textId="77777777" w:rsidR="000E2B6F" w:rsidRPr="000E2B6F" w:rsidRDefault="000E2B6F" w:rsidP="000E2B6F"/>
    <w:p w14:paraId="17D9BB87" w14:textId="780B60E8" w:rsidR="006117E8" w:rsidRDefault="00600745" w:rsidP="007C5BD1">
      <w:pPr>
        <w:pStyle w:val="Heading2"/>
      </w:pPr>
      <w:bookmarkStart w:id="8" w:name="_y678g7rmpw97" w:colFirst="0" w:colLast="0"/>
      <w:bookmarkEnd w:id="8"/>
      <w:r w:rsidRPr="003711FD">
        <w:br w:type="page"/>
      </w:r>
      <w:bookmarkStart w:id="9" w:name="_opv8h8rqfje" w:colFirst="0" w:colLast="0"/>
      <w:bookmarkStart w:id="10" w:name="_Toc527969654"/>
      <w:bookmarkEnd w:id="9"/>
      <w:r w:rsidRPr="003711FD">
        <w:lastRenderedPageBreak/>
        <w:t>2.2</w:t>
      </w:r>
      <w:r>
        <w:t xml:space="preserve"> </w:t>
      </w:r>
      <w:r w:rsidRPr="003711FD">
        <w:t>Pre-Planning</w:t>
      </w:r>
      <w:r>
        <w:t xml:space="preserve"> </w:t>
      </w:r>
      <w:r w:rsidRPr="003711FD">
        <w:t>Assessment</w:t>
      </w:r>
      <w:bookmarkEnd w:id="10"/>
    </w:p>
    <w:p w14:paraId="6890AC88" w14:textId="77777777" w:rsidR="00A41729" w:rsidRPr="00A41729" w:rsidRDefault="00DF5980" w:rsidP="00A41729">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A41729" w:rsidRPr="00A41729">
        <w:rPr>
          <w:rFonts w:asciiTheme="minorHAnsi" w:hAnsiTheme="minorHAnsi" w:cs="Arial"/>
          <w:noProof/>
          <w:color w:val="04326C"/>
          <w:sz w:val="20"/>
        </w:rPr>
        <w:t>NCAEC’s membership offers a variety of education and workforce programs and services for adults within the region. The membership consists of College of the Redwoods, Eureka City Schools, Del Norte County Unified, Northern Humboldt Union High, and the Humboldt County Sheriff’s Office. In 17/18, the consortium served 2,074 adults (CalPass). In that year, there were 1,336 adults who had twelve plus instructional hours (CalPass).</w:t>
      </w:r>
    </w:p>
    <w:p w14:paraId="1137C02A"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 xml:space="preserve">The NCAEC region area had a total population of 164,621  people in 2018.  This represents an increase of only 1.2% since 2013. This growth rate is smaller than California’s population growth rate of 3.9% during the same time period. Educational attainment in the NCAEC region is relatively lower than in the state or broader country.  The NCAEC region has a relatively high percentage of adults 18 years of age and older who have some college and no degree (31%).  The NCAEC region also has a lower percentage of those with a bachelor’s degree or higher (24%) than the state (30%) and national (28%) averages.  However, the region does have a comparatively lower percentage of adults who have not received a high school diploma. </w:t>
      </w:r>
    </w:p>
    <w:p w14:paraId="22D3CE2C"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The median household income in the NCAEC region is $43,757.   About one in three (29%) households have a median annual household income of less than $25,000.  Nearly half of the region’s households (45%) have annual wages of between $25,000 and $74,000 per year.  While 46% of the households across the state make $75,000 or more per year, only 26% of households in the NCAEC region fall into the same category. Ultimately, the median family income is about $43,757 per year, which is substantially lower than the statewide median family income of $76,975 per year.</w:t>
      </w:r>
    </w:p>
    <w:p w14:paraId="32992954"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 xml:space="preserve">There are a total of 60,203 jobs in the NCAEC region.  Since 2014, the number of jobs in the region has increased 8.9%, or by an additional 4,924 jobs.  Average wages per job in NCAEC ($51,623) are below the state and national averages.   </w:t>
      </w:r>
    </w:p>
    <w:p w14:paraId="38D34FF6"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Since 2013, employment in the NCAEC region has increased at a slower rate than state (12.1%) but faster than the national rate (8.3%). The industries with the largest job creation since 2014 include services for elderly and persons with disabilities (+1,291 jobs), elementary and secondary schools (+404 jobs), state government (excluding education and hospitals) (+361 jobs), temporary help services (+296 jobs), and state government colleges, universities, and professional schools (+282 jobs).</w:t>
      </w:r>
    </w:p>
    <w:p w14:paraId="1DAF5F0B"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 xml:space="preserve"> Approximately 56.1% of the population 16 years and older is in the labor force. The labor force participation rates in California and the U.S. are higher, at 63.5% and 63.4%, respectively. The unemployment rate in the NCAEC region is approximately 3.8%, which is lower than the state (3.9%) unemployment rate and higher than the national rate (3.6%). </w:t>
      </w:r>
    </w:p>
    <w:p w14:paraId="5FAEE04B" w14:textId="77777777" w:rsid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There are a little more than 14,100 of these potential students who have less than a high school diploma (or high school equivalency). Adult (18+) education courses targeting these students are meant to build a solid foundation of vocabulary, reading and writing skills, and/or assist students in completing their high school diploma or equivalency.</w:t>
      </w:r>
      <w:r>
        <w:rPr>
          <w:rFonts w:asciiTheme="minorHAnsi" w:hAnsiTheme="minorHAnsi" w:cs="Arial"/>
          <w:noProof/>
          <w:color w:val="04326C"/>
          <w:sz w:val="20"/>
        </w:rPr>
        <w:t xml:space="preserve"> </w:t>
      </w:r>
    </w:p>
    <w:p w14:paraId="768BB970" w14:textId="22277B38"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There are just under 5,000 potential ESL students.  This includes the population 18 years and older who speak English “less than very well.” Adult education courses targeting this population will offer classes for adult English language learners, vocational English as a Second Language (ESL), and citizenship courses.</w:t>
      </w:r>
    </w:p>
    <w:p w14:paraId="695601B5" w14:textId="77777777" w:rsidR="00A41729" w:rsidRP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lastRenderedPageBreak/>
        <w:t>There are more than 6,443 families in the NCAEC region with children aged 6 or younger.  These potential students are parents of young children who may struggle with the constant demands of raising young children.  These courses will help new parents mitigate these challenges.</w:t>
      </w:r>
    </w:p>
    <w:p w14:paraId="13DE40C9" w14:textId="238C7F0E" w:rsidR="00A41729" w:rsidRDefault="00A41729" w:rsidP="00A41729">
      <w:pPr>
        <w:rPr>
          <w:rFonts w:asciiTheme="minorHAnsi" w:hAnsiTheme="minorHAnsi" w:cs="Arial"/>
          <w:noProof/>
          <w:color w:val="04326C"/>
          <w:sz w:val="20"/>
        </w:rPr>
      </w:pPr>
      <w:r w:rsidRPr="00A41729">
        <w:rPr>
          <w:rFonts w:asciiTheme="minorHAnsi" w:hAnsiTheme="minorHAnsi" w:cs="Arial"/>
          <w:noProof/>
          <w:color w:val="04326C"/>
          <w:sz w:val="20"/>
        </w:rPr>
        <w:t>There are about 74,000 potential CTE students. These adult education courses are meant to provide specific training and education to expand and improve employment opportunities, to assist students in completing their college degree, or to help them move into a career pathway.</w:t>
      </w:r>
    </w:p>
    <w:p w14:paraId="16E784C6" w14:textId="09C634A4" w:rsidR="00DF5980" w:rsidRPr="00A324A7" w:rsidRDefault="00DF5980" w:rsidP="00A41729">
      <w:pPr>
        <w:rPr>
          <w:rFonts w:asciiTheme="minorHAnsi" w:hAnsiTheme="minorHAnsi" w:cs="Arial"/>
          <w:color w:val="04326C"/>
          <w:sz w:val="20"/>
        </w:rPr>
      </w:pPr>
      <w:r w:rsidRPr="00A324A7">
        <w:rPr>
          <w:rFonts w:asciiTheme="minorHAnsi" w:hAnsiTheme="minorHAnsi" w:cs="Arial"/>
          <w:color w:val="04326C"/>
          <w:sz w:val="20"/>
        </w:rPr>
        <w:fldChar w:fldCharType="end"/>
      </w:r>
    </w:p>
    <w:p w14:paraId="37A1C685" w14:textId="77777777" w:rsidR="00B148D7" w:rsidRPr="00B148D7" w:rsidRDefault="00B148D7" w:rsidP="00B148D7"/>
    <w:p w14:paraId="518B3D14" w14:textId="77777777" w:rsidR="006117E8" w:rsidRDefault="00600745" w:rsidP="00600745">
      <w:pPr>
        <w:spacing w:after="0" w:line="240" w:lineRule="auto"/>
        <w:rPr>
          <w:rFonts w:cstheme="majorHAnsi"/>
          <w:b/>
          <w:sz w:val="20"/>
          <w:szCs w:val="20"/>
        </w:rPr>
        <w:sectPr w:rsidR="006117E8" w:rsidSect="00C444D1">
          <w:footerReference w:type="default" r:id="rId15"/>
          <w:footerReference w:type="first" r:id="rId16"/>
          <w:pgSz w:w="12240" w:h="15840"/>
          <w:pgMar w:top="1739" w:right="1440" w:bottom="1440" w:left="1440" w:header="720" w:footer="720" w:gutter="0"/>
          <w:pgNumType w:start="1"/>
          <w:cols w:space="720"/>
          <w:docGrid w:linePitch="299"/>
        </w:sectPr>
      </w:pPr>
      <w:r w:rsidRPr="003711FD">
        <w:rPr>
          <w:rFonts w:cstheme="majorHAnsi"/>
        </w:rPr>
        <w:br/>
      </w:r>
    </w:p>
    <w:p w14:paraId="47098074" w14:textId="40F169AD" w:rsidR="00600745" w:rsidRPr="00C9534F" w:rsidRDefault="00C9534F" w:rsidP="00C94148">
      <w:pPr>
        <w:pStyle w:val="Heading3"/>
      </w:pPr>
      <w:bookmarkStart w:id="11" w:name="_Toc527969655"/>
      <w:r w:rsidRPr="003711FD">
        <w:lastRenderedPageBreak/>
        <w:t>Table</w:t>
      </w:r>
      <w:r>
        <w:t xml:space="preserve"> </w:t>
      </w:r>
      <w:r w:rsidRPr="003711FD">
        <w:t>1.</w:t>
      </w:r>
      <w:r>
        <w:t xml:space="preserve"> </w:t>
      </w:r>
      <w:r w:rsidRPr="003711FD">
        <w:t>Regional</w:t>
      </w:r>
      <w:r>
        <w:t xml:space="preserve"> </w:t>
      </w:r>
      <w:r w:rsidRPr="003711FD">
        <w:t>Service</w:t>
      </w:r>
      <w:r>
        <w:t xml:space="preserve"> </w:t>
      </w:r>
      <w:r w:rsidRPr="00915E51">
        <w:t>Providers</w:t>
      </w:r>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8" w:type="dxa"/>
          <w:left w:w="115" w:type="dxa"/>
          <w:bottom w:w="58" w:type="dxa"/>
          <w:right w:w="115" w:type="dxa"/>
        </w:tblCellMar>
        <w:tblLook w:val="04A0" w:firstRow="1" w:lastRow="0" w:firstColumn="1" w:lastColumn="0" w:noHBand="0" w:noVBand="1"/>
      </w:tblPr>
      <w:tblGrid>
        <w:gridCol w:w="3196"/>
        <w:gridCol w:w="1665"/>
        <w:gridCol w:w="2254"/>
        <w:gridCol w:w="533"/>
        <w:gridCol w:w="533"/>
        <w:gridCol w:w="533"/>
        <w:gridCol w:w="533"/>
        <w:gridCol w:w="533"/>
        <w:gridCol w:w="533"/>
        <w:gridCol w:w="533"/>
        <w:gridCol w:w="533"/>
        <w:gridCol w:w="3011"/>
      </w:tblGrid>
      <w:tr w:rsidR="002907BC" w:rsidRPr="00C9534F" w14:paraId="22F3DB77" w14:textId="77777777" w:rsidTr="00A41729">
        <w:trPr>
          <w:trHeight w:val="504"/>
          <w:tblHeader/>
        </w:trPr>
        <w:tc>
          <w:tcPr>
            <w:tcW w:w="3196" w:type="dxa"/>
            <w:vMerge w:val="restart"/>
            <w:shd w:val="clear" w:color="073763" w:fill="073763"/>
            <w:vAlign w:val="center"/>
            <w:hideMark/>
          </w:tcPr>
          <w:p w14:paraId="6FEA6A4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bookmarkStart w:id="12" w:name="_6z9yqsb49n1a" w:colFirst="0" w:colLast="0"/>
            <w:bookmarkEnd w:id="12"/>
            <w:r w:rsidRPr="00C9534F">
              <w:rPr>
                <w:rFonts w:ascii="Avenir Roman" w:eastAsia="Times New Roman" w:hAnsi="Avenir Roman" w:cs="Arial"/>
                <w:b/>
                <w:bCs/>
                <w:color w:val="FFFFFF"/>
                <w:sz w:val="20"/>
                <w:szCs w:val="20"/>
              </w:rPr>
              <w:t>Provider Name</w:t>
            </w:r>
          </w:p>
        </w:tc>
        <w:tc>
          <w:tcPr>
            <w:tcW w:w="1665" w:type="dxa"/>
            <w:vMerge w:val="restart"/>
            <w:shd w:val="clear" w:color="073763" w:fill="073763"/>
            <w:vAlign w:val="center"/>
            <w:hideMark/>
          </w:tcPr>
          <w:p w14:paraId="0EFCD40F"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Provider Type</w:t>
            </w:r>
          </w:p>
        </w:tc>
        <w:tc>
          <w:tcPr>
            <w:tcW w:w="2254" w:type="dxa"/>
            <w:vMerge w:val="restart"/>
            <w:shd w:val="clear" w:color="073763" w:fill="073763"/>
            <w:vAlign w:val="center"/>
            <w:hideMark/>
          </w:tcPr>
          <w:p w14:paraId="145FED0A"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Address or location(s) where AE services are provided</w:t>
            </w:r>
          </w:p>
        </w:tc>
        <w:tc>
          <w:tcPr>
            <w:tcW w:w="4264" w:type="dxa"/>
            <w:gridSpan w:val="8"/>
            <w:shd w:val="clear" w:color="073763" w:fill="073763"/>
            <w:noWrap/>
            <w:vAlign w:val="center"/>
            <w:hideMark/>
          </w:tcPr>
          <w:p w14:paraId="3F1544D7" w14:textId="1FCF7451" w:rsidR="002907BC" w:rsidRPr="00C9534F" w:rsidRDefault="002907BC" w:rsidP="00F64F20">
            <w:pPr>
              <w:spacing w:after="0" w:line="240" w:lineRule="auto"/>
              <w:jc w:val="center"/>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Program Areas</w:t>
            </w:r>
          </w:p>
        </w:tc>
        <w:tc>
          <w:tcPr>
            <w:tcW w:w="3011" w:type="dxa"/>
            <w:vMerge w:val="restart"/>
            <w:shd w:val="clear" w:color="073763" w:fill="073763"/>
            <w:vAlign w:val="center"/>
            <w:hideMark/>
          </w:tcPr>
          <w:p w14:paraId="2DFECC64" w14:textId="77777777" w:rsidR="002907BC" w:rsidRPr="00C9534F" w:rsidRDefault="002907BC" w:rsidP="00F64F20">
            <w:pPr>
              <w:spacing w:after="0" w:line="240" w:lineRule="auto"/>
              <w:rPr>
                <w:rFonts w:ascii="Avenir Roman" w:eastAsia="Times New Roman" w:hAnsi="Avenir Roman" w:cs="Arial"/>
                <w:b/>
                <w:bCs/>
                <w:color w:val="FFFFFF"/>
                <w:sz w:val="20"/>
                <w:szCs w:val="20"/>
              </w:rPr>
            </w:pPr>
            <w:r w:rsidRPr="00C9534F">
              <w:rPr>
                <w:rFonts w:ascii="Avenir Roman" w:eastAsia="Times New Roman" w:hAnsi="Avenir Roman" w:cs="Arial"/>
                <w:b/>
                <w:bCs/>
                <w:color w:val="FFFFFF"/>
                <w:sz w:val="20"/>
                <w:szCs w:val="20"/>
              </w:rPr>
              <w:t>If other, provide a brief description of services provided</w:t>
            </w:r>
          </w:p>
        </w:tc>
      </w:tr>
      <w:tr w:rsidR="002907BC" w:rsidRPr="00C9534F" w14:paraId="4DFC06AB" w14:textId="77777777" w:rsidTr="00A41729">
        <w:trPr>
          <w:trHeight w:val="139"/>
        </w:trPr>
        <w:tc>
          <w:tcPr>
            <w:tcW w:w="3196" w:type="dxa"/>
            <w:vMerge/>
            <w:vAlign w:val="center"/>
            <w:hideMark/>
          </w:tcPr>
          <w:p w14:paraId="0037347C"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1665" w:type="dxa"/>
            <w:vMerge/>
            <w:vAlign w:val="center"/>
            <w:hideMark/>
          </w:tcPr>
          <w:p w14:paraId="60E51AC3"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2254" w:type="dxa"/>
            <w:vMerge/>
            <w:vAlign w:val="center"/>
            <w:hideMark/>
          </w:tcPr>
          <w:p w14:paraId="5040A101"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c>
          <w:tcPr>
            <w:tcW w:w="533" w:type="dxa"/>
            <w:shd w:val="clear" w:color="073763" w:fill="073763"/>
            <w:vAlign w:val="center"/>
            <w:hideMark/>
          </w:tcPr>
          <w:p w14:paraId="5A6D7662"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ABE</w:t>
            </w:r>
          </w:p>
        </w:tc>
        <w:tc>
          <w:tcPr>
            <w:tcW w:w="533" w:type="dxa"/>
            <w:shd w:val="clear" w:color="073763" w:fill="073763"/>
            <w:vAlign w:val="center"/>
            <w:hideMark/>
          </w:tcPr>
          <w:p w14:paraId="34637155"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ASE</w:t>
            </w:r>
          </w:p>
        </w:tc>
        <w:tc>
          <w:tcPr>
            <w:tcW w:w="533" w:type="dxa"/>
            <w:shd w:val="clear" w:color="073763" w:fill="073763"/>
            <w:vAlign w:val="center"/>
            <w:hideMark/>
          </w:tcPr>
          <w:p w14:paraId="65FF9AA6" w14:textId="23E537AA"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ESL</w:t>
            </w:r>
          </w:p>
        </w:tc>
        <w:tc>
          <w:tcPr>
            <w:tcW w:w="533" w:type="dxa"/>
            <w:shd w:val="clear" w:color="073763" w:fill="073763"/>
            <w:vAlign w:val="center"/>
            <w:hideMark/>
          </w:tcPr>
          <w:p w14:paraId="19DCCB2B" w14:textId="7777777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CTE</w:t>
            </w:r>
          </w:p>
        </w:tc>
        <w:tc>
          <w:tcPr>
            <w:tcW w:w="533" w:type="dxa"/>
            <w:shd w:val="clear" w:color="073763" w:fill="073763"/>
            <w:vAlign w:val="center"/>
            <w:hideMark/>
          </w:tcPr>
          <w:p w14:paraId="466AE393" w14:textId="55602E2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AWD</w:t>
            </w:r>
          </w:p>
        </w:tc>
        <w:tc>
          <w:tcPr>
            <w:tcW w:w="533" w:type="dxa"/>
            <w:shd w:val="clear" w:color="073763" w:fill="073763"/>
            <w:vAlign w:val="center"/>
          </w:tcPr>
          <w:p w14:paraId="3B76BBB0" w14:textId="20456BC0"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WR</w:t>
            </w:r>
          </w:p>
        </w:tc>
        <w:tc>
          <w:tcPr>
            <w:tcW w:w="533" w:type="dxa"/>
            <w:shd w:val="clear" w:color="073763" w:fill="073763"/>
            <w:vAlign w:val="center"/>
          </w:tcPr>
          <w:p w14:paraId="323FA8D2" w14:textId="3AE7DDA7"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PA</w:t>
            </w:r>
          </w:p>
        </w:tc>
        <w:tc>
          <w:tcPr>
            <w:tcW w:w="533" w:type="dxa"/>
            <w:shd w:val="clear" w:color="073763" w:fill="073763"/>
            <w:vAlign w:val="center"/>
            <w:hideMark/>
          </w:tcPr>
          <w:p w14:paraId="0DA945AA" w14:textId="6C004F08" w:rsidR="002907BC" w:rsidRPr="002907BC" w:rsidRDefault="002907BC" w:rsidP="00F64F20">
            <w:pPr>
              <w:spacing w:after="0" w:line="240" w:lineRule="auto"/>
              <w:jc w:val="center"/>
              <w:rPr>
                <w:rFonts w:ascii="Avenir Roman" w:eastAsia="Times New Roman" w:hAnsi="Avenir Roman" w:cs="Arial"/>
                <w:b/>
                <w:bCs/>
                <w:color w:val="FFFFFF"/>
                <w:sz w:val="12"/>
                <w:szCs w:val="12"/>
              </w:rPr>
            </w:pPr>
            <w:r w:rsidRPr="002907BC">
              <w:rPr>
                <w:rFonts w:ascii="Avenir Roman" w:eastAsia="Times New Roman" w:hAnsi="Avenir Roman" w:cs="Arial"/>
                <w:b/>
                <w:bCs/>
                <w:color w:val="FFFFFF"/>
                <w:sz w:val="12"/>
                <w:szCs w:val="12"/>
              </w:rPr>
              <w:t>ACS</w:t>
            </w:r>
          </w:p>
        </w:tc>
        <w:tc>
          <w:tcPr>
            <w:tcW w:w="3011" w:type="dxa"/>
            <w:vMerge/>
            <w:vAlign w:val="center"/>
            <w:hideMark/>
          </w:tcPr>
          <w:p w14:paraId="31E23445" w14:textId="77777777" w:rsidR="002907BC" w:rsidRPr="00C9534F" w:rsidRDefault="002907BC" w:rsidP="00F64F20">
            <w:pPr>
              <w:spacing w:after="0" w:line="240" w:lineRule="auto"/>
              <w:rPr>
                <w:rFonts w:ascii="Avenir Roman" w:eastAsia="Times New Roman" w:hAnsi="Avenir Roman" w:cs="Arial"/>
                <w:b/>
                <w:bCs/>
                <w:color w:val="FFFFFF"/>
                <w:sz w:val="20"/>
                <w:szCs w:val="20"/>
              </w:rPr>
            </w:pPr>
          </w:p>
        </w:tc>
      </w:tr>
      <w:tr w:rsidR="002907BC" w:rsidRPr="00C9534F" w14:paraId="573AD09A" w14:textId="77777777" w:rsidTr="00A41729">
        <w:trPr>
          <w:trHeight w:val="571"/>
        </w:trPr>
        <w:tc>
          <w:tcPr>
            <w:tcW w:w="3196" w:type="dxa"/>
            <w:shd w:val="clear" w:color="D3DFEE" w:fill="D3DFEE"/>
            <w:vAlign w:val="center"/>
            <w:hideMark/>
          </w:tcPr>
          <w:p w14:paraId="5898B286"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w:t>
            </w:r>
          </w:p>
        </w:tc>
        <w:tc>
          <w:tcPr>
            <w:tcW w:w="1665" w:type="dxa"/>
            <w:shd w:val="clear" w:color="D3DFEE" w:fill="D3DFEE"/>
            <w:vAlign w:val="center"/>
            <w:hideMark/>
          </w:tcPr>
          <w:p w14:paraId="7505A7CD"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Business / Industry</w:t>
            </w:r>
          </w:p>
        </w:tc>
        <w:tc>
          <w:tcPr>
            <w:tcW w:w="2254" w:type="dxa"/>
            <w:shd w:val="clear" w:color="D3DFEE" w:fill="D3DFEE"/>
            <w:vAlign w:val="center"/>
            <w:hideMark/>
          </w:tcPr>
          <w:p w14:paraId="75035D9A"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555 Adult Education Lane, Los Angeles, CA 90001</w:t>
            </w:r>
          </w:p>
        </w:tc>
        <w:tc>
          <w:tcPr>
            <w:tcW w:w="533" w:type="dxa"/>
            <w:shd w:val="clear" w:color="D3DFEE" w:fill="D3DFEE"/>
            <w:vAlign w:val="center"/>
            <w:hideMark/>
          </w:tcPr>
          <w:p w14:paraId="1D2AE026"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10E5C762"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5A1EA935"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654E2F57"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037B1BB0" w14:textId="77777777"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2708B8E6" w14:textId="6BE54AB6"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tcPr>
          <w:p w14:paraId="595795CA" w14:textId="1360DC4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533" w:type="dxa"/>
            <w:shd w:val="clear" w:color="D3DFEE" w:fill="D3DFEE"/>
            <w:vAlign w:val="center"/>
            <w:hideMark/>
          </w:tcPr>
          <w:p w14:paraId="24E1E4D0" w14:textId="383D1CA3" w:rsidR="002907BC" w:rsidRPr="00C9534F" w:rsidRDefault="002907BC" w:rsidP="00F64F20">
            <w:pPr>
              <w:spacing w:after="0" w:line="240" w:lineRule="auto"/>
              <w:jc w:val="center"/>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w:t>
            </w:r>
          </w:p>
        </w:tc>
        <w:tc>
          <w:tcPr>
            <w:tcW w:w="3011" w:type="dxa"/>
            <w:shd w:val="clear" w:color="D3DFEE" w:fill="D3DFEE"/>
            <w:vAlign w:val="center"/>
            <w:hideMark/>
          </w:tcPr>
          <w:p w14:paraId="0913CA0B" w14:textId="77777777" w:rsidR="002907BC" w:rsidRPr="00C9534F" w:rsidRDefault="002907BC" w:rsidP="00F64F20">
            <w:pPr>
              <w:spacing w:after="0" w:line="240" w:lineRule="auto"/>
              <w:rPr>
                <w:rFonts w:ascii="Avenir Roman" w:eastAsia="Times New Roman" w:hAnsi="Avenir Roman" w:cs="Arial"/>
                <w:i/>
                <w:iCs/>
                <w:color w:val="000000"/>
                <w:sz w:val="16"/>
                <w:szCs w:val="20"/>
              </w:rPr>
            </w:pPr>
            <w:r w:rsidRPr="00C9534F">
              <w:rPr>
                <w:rFonts w:ascii="Avenir Roman" w:eastAsia="Times New Roman" w:hAnsi="Avenir Roman" w:cs="Arial"/>
                <w:i/>
                <w:iCs/>
                <w:color w:val="000000"/>
                <w:sz w:val="16"/>
                <w:szCs w:val="20"/>
              </w:rPr>
              <w:t>XYZ agency provides opportunities for students in Manufacturing Bridge Courses to Job Shadow.</w:t>
            </w:r>
          </w:p>
        </w:tc>
      </w:tr>
      <w:tr w:rsidR="002907BC" w:rsidRPr="00C9534F" w14:paraId="15A4EB35" w14:textId="77777777" w:rsidTr="00A41729">
        <w:trPr>
          <w:trHeight w:hRule="exact" w:val="1076"/>
        </w:trPr>
        <w:tc>
          <w:tcPr>
            <w:tcW w:w="3196" w:type="dxa"/>
            <w:shd w:val="clear" w:color="auto" w:fill="auto"/>
            <w:vAlign w:val="center"/>
            <w:hideMark/>
          </w:tcPr>
          <w:p w14:paraId="06617E2A" w14:textId="791C8A34" w:rsidR="002907BC" w:rsidRPr="00A324A7" w:rsidRDefault="002907BC" w:rsidP="00A41729">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41729">
              <w:rPr>
                <w:rFonts w:asciiTheme="minorHAnsi" w:hAnsiTheme="minorHAnsi" w:cs="Arial"/>
                <w:noProof/>
                <w:color w:val="04326C"/>
                <w:sz w:val="20"/>
              </w:rPr>
              <w:t>College of the Rewoods</w:t>
            </w:r>
            <w:r w:rsidRPr="00C248D8">
              <w:rPr>
                <w:rFonts w:asciiTheme="minorHAnsi" w:hAnsiTheme="minorHAnsi" w:cs="Arial"/>
                <w:color w:val="04326C"/>
                <w:sz w:val="20"/>
              </w:rPr>
              <w:fldChar w:fldCharType="end"/>
            </w:r>
          </w:p>
        </w:tc>
        <w:tc>
          <w:tcPr>
            <w:tcW w:w="1665" w:type="dxa"/>
            <w:shd w:val="clear" w:color="auto" w:fill="auto"/>
            <w:noWrap/>
            <w:vAlign w:val="center"/>
            <w:hideMark/>
          </w:tcPr>
          <w:p w14:paraId="6531B90B" w14:textId="449BA7E9" w:rsidR="002907BC" w:rsidRPr="00A324A7" w:rsidRDefault="002907BC" w:rsidP="00A41729">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41729">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254" w:type="dxa"/>
            <w:shd w:val="clear" w:color="auto" w:fill="auto"/>
            <w:noWrap/>
            <w:vAlign w:val="center"/>
            <w:hideMark/>
          </w:tcPr>
          <w:p w14:paraId="3F94C625" w14:textId="5A84758A" w:rsidR="002907BC" w:rsidRPr="00A324A7" w:rsidRDefault="002907BC" w:rsidP="00A41729">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A41729">
              <w:rPr>
                <w:rFonts w:asciiTheme="minorHAnsi" w:hAnsiTheme="minorHAnsi" w:cs="Arial"/>
                <w:noProof/>
                <w:color w:val="04326C"/>
                <w:sz w:val="20"/>
              </w:rPr>
              <w:t>310 Thrid st. Suite C, Eureka</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982498A" w14:textId="175692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64C13A4" w14:textId="205726F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F9A529E" w14:textId="58730EC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E6061A5" w14:textId="66D1CC5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28EE684" w14:textId="6C98E6A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D762B35" w14:textId="3558C2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AAB760A" w14:textId="74E3561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F2DF4E6" w14:textId="63CBF93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118F612" w14:textId="54E762C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033750B" w14:textId="77777777" w:rsidTr="00A41729">
        <w:trPr>
          <w:trHeight w:hRule="exact" w:val="1211"/>
        </w:trPr>
        <w:tc>
          <w:tcPr>
            <w:tcW w:w="3196" w:type="dxa"/>
            <w:shd w:val="clear" w:color="auto" w:fill="auto"/>
            <w:noWrap/>
            <w:vAlign w:val="center"/>
            <w:hideMark/>
          </w:tcPr>
          <w:p w14:paraId="72DFFB7C" w14:textId="14942240" w:rsidR="002907BC" w:rsidRPr="00A324A7" w:rsidRDefault="002907BC" w:rsidP="00A41729">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A41729">
              <w:rPr>
                <w:rFonts w:asciiTheme="minorHAnsi" w:hAnsiTheme="minorHAnsi" w:cs="Arial"/>
                <w:noProof/>
                <w:color w:val="04326C"/>
                <w:sz w:val="20"/>
              </w:rPr>
              <w:t>Eureka City Schools</w:t>
            </w:r>
            <w:r w:rsidRPr="00C248D8">
              <w:rPr>
                <w:rFonts w:asciiTheme="minorHAnsi" w:hAnsiTheme="minorHAnsi" w:cs="Arial"/>
                <w:color w:val="04326C"/>
                <w:sz w:val="20"/>
              </w:rPr>
              <w:fldChar w:fldCharType="end"/>
            </w:r>
          </w:p>
        </w:tc>
        <w:tc>
          <w:tcPr>
            <w:tcW w:w="1665" w:type="dxa"/>
            <w:shd w:val="clear" w:color="auto" w:fill="auto"/>
            <w:noWrap/>
            <w:vAlign w:val="center"/>
            <w:hideMark/>
          </w:tcPr>
          <w:p w14:paraId="15BFBCD6" w14:textId="37A3BFD1" w:rsidR="002907BC" w:rsidRPr="00A324A7" w:rsidRDefault="002907BC" w:rsidP="00A41729">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A41729">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254" w:type="dxa"/>
            <w:shd w:val="clear" w:color="auto" w:fill="auto"/>
            <w:noWrap/>
            <w:vAlign w:val="center"/>
            <w:hideMark/>
          </w:tcPr>
          <w:p w14:paraId="77BC09B9" w14:textId="10887CC0" w:rsidR="002907BC" w:rsidRPr="00A324A7" w:rsidRDefault="002907BC" w:rsidP="00935DB7">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2100 J Street, Eureka, CA 95501</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03CDEFF4" w14:textId="5FE0A98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0E7B0CEE" w14:textId="55F847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1ABBD29" w14:textId="1BAF15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484984C" w14:textId="6A839EA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DD3839B" w14:textId="3F4EE96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0F2B697" w14:textId="501245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735EA6" w14:textId="2D6A0F2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66CD602" w14:textId="5541EF9E"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085AD895" w14:textId="2F126D7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7280C05" w14:textId="77777777" w:rsidTr="00A41729">
        <w:trPr>
          <w:trHeight w:hRule="exact" w:val="1193"/>
        </w:trPr>
        <w:tc>
          <w:tcPr>
            <w:tcW w:w="3196" w:type="dxa"/>
            <w:shd w:val="clear" w:color="auto" w:fill="auto"/>
            <w:noWrap/>
            <w:vAlign w:val="center"/>
            <w:hideMark/>
          </w:tcPr>
          <w:p w14:paraId="711DE136" w14:textId="32EF693D" w:rsidR="002907BC" w:rsidRPr="00A324A7" w:rsidRDefault="002907BC" w:rsidP="00935DB7">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Del Norte Unified School District</w:t>
            </w:r>
            <w:r w:rsidRPr="00C248D8">
              <w:rPr>
                <w:rFonts w:asciiTheme="minorHAnsi" w:hAnsiTheme="minorHAnsi" w:cs="Arial"/>
                <w:color w:val="04326C"/>
                <w:sz w:val="20"/>
              </w:rPr>
              <w:fldChar w:fldCharType="end"/>
            </w:r>
          </w:p>
        </w:tc>
        <w:tc>
          <w:tcPr>
            <w:tcW w:w="1665" w:type="dxa"/>
            <w:shd w:val="clear" w:color="auto" w:fill="auto"/>
            <w:noWrap/>
            <w:vAlign w:val="center"/>
            <w:hideMark/>
          </w:tcPr>
          <w:p w14:paraId="2255D9FE" w14:textId="639F87BD" w:rsidR="002907BC" w:rsidRPr="00A324A7" w:rsidRDefault="002907BC" w:rsidP="00935DB7">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935DB7">
              <w:rPr>
                <w:rFonts w:asciiTheme="minorHAnsi" w:hAnsiTheme="minorHAnsi" w:cs="Arial"/>
                <w:noProof/>
                <w:color w:val="04326C"/>
                <w:sz w:val="20"/>
              </w:rPr>
              <w:t>Education</w:t>
            </w:r>
            <w:r w:rsidRPr="00066A94">
              <w:rPr>
                <w:rFonts w:asciiTheme="minorHAnsi" w:hAnsiTheme="minorHAnsi" w:cs="Arial"/>
                <w:color w:val="04326C"/>
                <w:sz w:val="20"/>
              </w:rPr>
              <w:fldChar w:fldCharType="end"/>
            </w:r>
          </w:p>
        </w:tc>
        <w:tc>
          <w:tcPr>
            <w:tcW w:w="2254" w:type="dxa"/>
            <w:shd w:val="clear" w:color="auto" w:fill="auto"/>
            <w:noWrap/>
            <w:vAlign w:val="center"/>
            <w:hideMark/>
          </w:tcPr>
          <w:p w14:paraId="452FA4DE" w14:textId="77777777" w:rsidR="00935DB7" w:rsidRPr="00935DB7" w:rsidRDefault="002907BC" w:rsidP="00935DB7">
            <w:pPr>
              <w:spacing w:after="0" w:line="240" w:lineRule="auto"/>
              <w:rPr>
                <w:rFonts w:asciiTheme="minorHAnsi" w:hAnsiTheme="minorHAnsi" w:cs="Arial"/>
                <w:noProof/>
                <w:color w:val="04326C"/>
                <w:sz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400 W Harding Ave.</w:t>
            </w:r>
          </w:p>
          <w:p w14:paraId="5298A509" w14:textId="4FD4B808" w:rsidR="002907BC" w:rsidRPr="00A324A7" w:rsidRDefault="00935DB7" w:rsidP="00935DB7">
            <w:pPr>
              <w:spacing w:after="0" w:line="240" w:lineRule="auto"/>
              <w:rPr>
                <w:rFonts w:asciiTheme="minorHAnsi" w:eastAsia="Times New Roman" w:hAnsiTheme="minorHAnsi" w:cstheme="majorHAnsi"/>
                <w:color w:val="04326C"/>
                <w:sz w:val="20"/>
                <w:szCs w:val="20"/>
              </w:rPr>
            </w:pPr>
            <w:r w:rsidRPr="00935DB7">
              <w:rPr>
                <w:rFonts w:asciiTheme="minorHAnsi" w:hAnsiTheme="minorHAnsi" w:cs="Arial"/>
                <w:noProof/>
                <w:color w:val="04326C"/>
                <w:sz w:val="20"/>
              </w:rPr>
              <w:t>Crescent City, CA 95531</w:t>
            </w:r>
            <w:r w:rsidR="002907BC" w:rsidRPr="0056176A">
              <w:rPr>
                <w:rFonts w:asciiTheme="minorHAnsi" w:hAnsiTheme="minorHAnsi" w:cs="Arial"/>
                <w:color w:val="04326C"/>
                <w:sz w:val="20"/>
              </w:rPr>
              <w:fldChar w:fldCharType="end"/>
            </w:r>
          </w:p>
        </w:tc>
        <w:tc>
          <w:tcPr>
            <w:tcW w:w="533" w:type="dxa"/>
            <w:shd w:val="clear" w:color="auto" w:fill="auto"/>
            <w:noWrap/>
            <w:vAlign w:val="center"/>
            <w:hideMark/>
          </w:tcPr>
          <w:p w14:paraId="45003A36" w14:textId="52186D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34C611B2" w14:textId="048C24A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DA1989B" w14:textId="483445C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2B683BF7" w14:textId="35470FD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58D13B69" w14:textId="7608DE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5D0626C" w14:textId="36D3F80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ed/>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0826F410" w14:textId="6E50D42C"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6DE10C53" w14:textId="4ECE19D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6DA2BC8B" w14:textId="29EF01F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182EFF35" w14:textId="77777777" w:rsidTr="00A41729">
        <w:trPr>
          <w:trHeight w:hRule="exact" w:val="360"/>
        </w:trPr>
        <w:tc>
          <w:tcPr>
            <w:tcW w:w="3196" w:type="dxa"/>
            <w:shd w:val="clear" w:color="auto" w:fill="auto"/>
            <w:noWrap/>
            <w:vAlign w:val="center"/>
            <w:hideMark/>
          </w:tcPr>
          <w:p w14:paraId="7661E877" w14:textId="79578D9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665" w:type="dxa"/>
            <w:shd w:val="clear" w:color="auto" w:fill="auto"/>
            <w:noWrap/>
            <w:vAlign w:val="center"/>
            <w:hideMark/>
          </w:tcPr>
          <w:p w14:paraId="25201677" w14:textId="5D5B5C28"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254" w:type="dxa"/>
            <w:shd w:val="clear" w:color="auto" w:fill="auto"/>
            <w:noWrap/>
            <w:vAlign w:val="center"/>
            <w:hideMark/>
          </w:tcPr>
          <w:p w14:paraId="5B0AA92C" w14:textId="233744D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33" w:type="dxa"/>
            <w:shd w:val="clear" w:color="auto" w:fill="auto"/>
            <w:noWrap/>
            <w:vAlign w:val="center"/>
            <w:hideMark/>
          </w:tcPr>
          <w:p w14:paraId="4308E3F0" w14:textId="5F8FC7B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71D37B1" w14:textId="0FE01C3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6EE6268" w14:textId="5822BCB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42421935" w14:textId="1F3BCCA8"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CCDCF88" w14:textId="7977D8F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77B8864D" w14:textId="55FD1C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4B57284" w14:textId="63E9BF3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hideMark/>
          </w:tcPr>
          <w:p w14:paraId="7E9F86F8" w14:textId="482EDA1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hideMark/>
          </w:tcPr>
          <w:p w14:paraId="4909CDF5" w14:textId="4727E77C"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6DF33F" w14:textId="77777777" w:rsidTr="00A41729">
        <w:trPr>
          <w:trHeight w:hRule="exact" w:val="360"/>
        </w:trPr>
        <w:tc>
          <w:tcPr>
            <w:tcW w:w="3196" w:type="dxa"/>
            <w:shd w:val="clear" w:color="auto" w:fill="auto"/>
            <w:noWrap/>
            <w:vAlign w:val="center"/>
          </w:tcPr>
          <w:p w14:paraId="68D2FD9A" w14:textId="7FADA64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665" w:type="dxa"/>
            <w:shd w:val="clear" w:color="auto" w:fill="auto"/>
            <w:noWrap/>
            <w:vAlign w:val="center"/>
          </w:tcPr>
          <w:p w14:paraId="0157DA63" w14:textId="318191F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254" w:type="dxa"/>
            <w:shd w:val="clear" w:color="auto" w:fill="auto"/>
            <w:noWrap/>
            <w:vAlign w:val="center"/>
          </w:tcPr>
          <w:p w14:paraId="2261A87C" w14:textId="7523CFD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33" w:type="dxa"/>
            <w:shd w:val="clear" w:color="auto" w:fill="auto"/>
            <w:noWrap/>
            <w:vAlign w:val="center"/>
          </w:tcPr>
          <w:p w14:paraId="17897072" w14:textId="354813A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EAB8AC3" w14:textId="3DE6258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65F725A7" w14:textId="7BF88EB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56C72D0" w14:textId="61FE933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C7D7060" w14:textId="7F9A0F3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2C08AAF4" w14:textId="4214AA9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97E3D4A" w14:textId="0F531AE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4CF269" w14:textId="799084D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9FC7053" w14:textId="020D0C03"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31B43AF8" w14:textId="77777777" w:rsidTr="00A41729">
        <w:trPr>
          <w:trHeight w:hRule="exact" w:val="360"/>
        </w:trPr>
        <w:tc>
          <w:tcPr>
            <w:tcW w:w="3196" w:type="dxa"/>
            <w:shd w:val="clear" w:color="auto" w:fill="auto"/>
            <w:noWrap/>
            <w:vAlign w:val="center"/>
          </w:tcPr>
          <w:p w14:paraId="5FBF8497" w14:textId="139F5240"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665" w:type="dxa"/>
            <w:shd w:val="clear" w:color="auto" w:fill="auto"/>
            <w:noWrap/>
            <w:vAlign w:val="center"/>
          </w:tcPr>
          <w:p w14:paraId="514E7CC8" w14:textId="7993B612"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254" w:type="dxa"/>
            <w:shd w:val="clear" w:color="auto" w:fill="auto"/>
            <w:noWrap/>
            <w:vAlign w:val="center"/>
          </w:tcPr>
          <w:p w14:paraId="4B15DC06" w14:textId="11337441"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33" w:type="dxa"/>
            <w:shd w:val="clear" w:color="auto" w:fill="auto"/>
            <w:noWrap/>
            <w:vAlign w:val="center"/>
          </w:tcPr>
          <w:p w14:paraId="20A6A414" w14:textId="323FBAD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3F15B33" w14:textId="5F0A008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D447564" w14:textId="02D102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6584A34" w14:textId="0E621865"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42394AB" w14:textId="3346A99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1B755207" w14:textId="3CA920E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7CC417" w14:textId="5462389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340B2D8D" w14:textId="5909FF9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2BDF545D" w14:textId="504C8D6F"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275A2ACA" w14:textId="77777777" w:rsidTr="00A41729">
        <w:trPr>
          <w:trHeight w:hRule="exact" w:val="360"/>
        </w:trPr>
        <w:tc>
          <w:tcPr>
            <w:tcW w:w="3196" w:type="dxa"/>
            <w:shd w:val="clear" w:color="auto" w:fill="auto"/>
            <w:noWrap/>
            <w:vAlign w:val="center"/>
          </w:tcPr>
          <w:p w14:paraId="6A4704FF" w14:textId="183C9FBE"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665" w:type="dxa"/>
            <w:shd w:val="clear" w:color="auto" w:fill="auto"/>
            <w:noWrap/>
            <w:vAlign w:val="center"/>
          </w:tcPr>
          <w:p w14:paraId="4197A0B9" w14:textId="026D3296"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254" w:type="dxa"/>
            <w:shd w:val="clear" w:color="auto" w:fill="auto"/>
            <w:noWrap/>
            <w:vAlign w:val="center"/>
          </w:tcPr>
          <w:p w14:paraId="70FDBD3C" w14:textId="02D4DC3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33" w:type="dxa"/>
            <w:shd w:val="clear" w:color="auto" w:fill="auto"/>
            <w:noWrap/>
            <w:vAlign w:val="center"/>
          </w:tcPr>
          <w:p w14:paraId="51519371" w14:textId="75CDA3C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1923E93" w14:textId="31585AA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2777627" w14:textId="480D066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BFC8D75" w14:textId="7256AEF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02CBB2CD" w14:textId="2B565C9D"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57782DDA" w14:textId="4ACFB1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65538B70" w14:textId="01C8705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B970829" w14:textId="1A139804"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4C20F4BF" w14:textId="0060033B"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r w:rsidR="002907BC" w:rsidRPr="00C9534F" w14:paraId="54D47928" w14:textId="77777777" w:rsidTr="00A41729">
        <w:trPr>
          <w:trHeight w:hRule="exact" w:val="360"/>
        </w:trPr>
        <w:tc>
          <w:tcPr>
            <w:tcW w:w="3196" w:type="dxa"/>
            <w:shd w:val="clear" w:color="auto" w:fill="auto"/>
            <w:noWrap/>
            <w:vAlign w:val="center"/>
          </w:tcPr>
          <w:p w14:paraId="49285455" w14:textId="0FB93214"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C248D8">
              <w:rPr>
                <w:rFonts w:asciiTheme="minorHAnsi" w:hAnsiTheme="minorHAnsi" w:cs="Arial"/>
                <w:color w:val="04326C"/>
                <w:sz w:val="20"/>
              </w:rPr>
              <w:fldChar w:fldCharType="begin">
                <w:ffData>
                  <w:name w:val="txt2_1"/>
                  <w:enabled/>
                  <w:calcOnExit w:val="0"/>
                  <w:textInput/>
                </w:ffData>
              </w:fldChar>
            </w:r>
            <w:r w:rsidRPr="00C248D8">
              <w:rPr>
                <w:rFonts w:asciiTheme="minorHAnsi" w:hAnsiTheme="minorHAnsi" w:cs="Arial"/>
                <w:color w:val="04326C"/>
                <w:sz w:val="20"/>
              </w:rPr>
              <w:instrText xml:space="preserve"> FORMTEXT </w:instrText>
            </w:r>
            <w:r w:rsidRPr="00C248D8">
              <w:rPr>
                <w:rFonts w:asciiTheme="minorHAnsi" w:hAnsiTheme="minorHAnsi" w:cs="Arial"/>
                <w:color w:val="04326C"/>
                <w:sz w:val="20"/>
              </w:rPr>
            </w:r>
            <w:r w:rsidRPr="00C248D8">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C248D8">
              <w:rPr>
                <w:rFonts w:asciiTheme="minorHAnsi" w:hAnsiTheme="minorHAnsi" w:cs="Arial"/>
                <w:color w:val="04326C"/>
                <w:sz w:val="20"/>
              </w:rPr>
              <w:fldChar w:fldCharType="end"/>
            </w:r>
          </w:p>
        </w:tc>
        <w:tc>
          <w:tcPr>
            <w:tcW w:w="1665" w:type="dxa"/>
            <w:shd w:val="clear" w:color="auto" w:fill="auto"/>
            <w:noWrap/>
            <w:vAlign w:val="center"/>
          </w:tcPr>
          <w:p w14:paraId="2B382FA0" w14:textId="269ADFAD"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066A94">
              <w:rPr>
                <w:rFonts w:asciiTheme="minorHAnsi" w:hAnsiTheme="minorHAnsi" w:cs="Arial"/>
                <w:color w:val="04326C"/>
                <w:sz w:val="20"/>
              </w:rPr>
              <w:fldChar w:fldCharType="begin">
                <w:ffData>
                  <w:name w:val="txt2_1"/>
                  <w:enabled/>
                  <w:calcOnExit w:val="0"/>
                  <w:textInput/>
                </w:ffData>
              </w:fldChar>
            </w:r>
            <w:r w:rsidRPr="00066A94">
              <w:rPr>
                <w:rFonts w:asciiTheme="minorHAnsi" w:hAnsiTheme="minorHAnsi" w:cs="Arial"/>
                <w:color w:val="04326C"/>
                <w:sz w:val="20"/>
              </w:rPr>
              <w:instrText xml:space="preserve"> FORMTEXT </w:instrText>
            </w:r>
            <w:r w:rsidRPr="00066A94">
              <w:rPr>
                <w:rFonts w:asciiTheme="minorHAnsi" w:hAnsiTheme="minorHAnsi" w:cs="Arial"/>
                <w:color w:val="04326C"/>
                <w:sz w:val="20"/>
              </w:rPr>
            </w:r>
            <w:r w:rsidRPr="00066A94">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66A94">
              <w:rPr>
                <w:rFonts w:asciiTheme="minorHAnsi" w:hAnsiTheme="minorHAnsi" w:cs="Arial"/>
                <w:color w:val="04326C"/>
                <w:sz w:val="20"/>
              </w:rPr>
              <w:fldChar w:fldCharType="end"/>
            </w:r>
          </w:p>
        </w:tc>
        <w:tc>
          <w:tcPr>
            <w:tcW w:w="2254" w:type="dxa"/>
            <w:shd w:val="clear" w:color="auto" w:fill="auto"/>
            <w:noWrap/>
            <w:vAlign w:val="center"/>
          </w:tcPr>
          <w:p w14:paraId="2587D270" w14:textId="4019BF67" w:rsidR="002907BC" w:rsidRPr="00A324A7" w:rsidRDefault="002907BC" w:rsidP="00F64F20">
            <w:pPr>
              <w:spacing w:after="0" w:line="240" w:lineRule="auto"/>
              <w:rPr>
                <w:rFonts w:asciiTheme="minorHAnsi" w:eastAsia="Times New Roman" w:hAnsiTheme="minorHAnsi" w:cstheme="majorHAnsi"/>
                <w:color w:val="04326C"/>
                <w:sz w:val="20"/>
                <w:szCs w:val="20"/>
              </w:rPr>
            </w:pPr>
            <w:r w:rsidRPr="0056176A">
              <w:rPr>
                <w:rFonts w:asciiTheme="minorHAnsi" w:hAnsiTheme="minorHAnsi" w:cs="Arial"/>
                <w:color w:val="04326C"/>
                <w:sz w:val="20"/>
              </w:rPr>
              <w:fldChar w:fldCharType="begin">
                <w:ffData>
                  <w:name w:val="txt2_1"/>
                  <w:enabled/>
                  <w:calcOnExit w:val="0"/>
                  <w:textInput/>
                </w:ffData>
              </w:fldChar>
            </w:r>
            <w:r w:rsidRPr="0056176A">
              <w:rPr>
                <w:rFonts w:asciiTheme="minorHAnsi" w:hAnsiTheme="minorHAnsi" w:cs="Arial"/>
                <w:color w:val="04326C"/>
                <w:sz w:val="20"/>
              </w:rPr>
              <w:instrText xml:space="preserve"> FORMTEXT </w:instrText>
            </w:r>
            <w:r w:rsidRPr="0056176A">
              <w:rPr>
                <w:rFonts w:asciiTheme="minorHAnsi" w:hAnsiTheme="minorHAnsi" w:cs="Arial"/>
                <w:color w:val="04326C"/>
                <w:sz w:val="20"/>
              </w:rPr>
            </w:r>
            <w:r w:rsidRPr="0056176A">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56176A">
              <w:rPr>
                <w:rFonts w:asciiTheme="minorHAnsi" w:hAnsiTheme="minorHAnsi" w:cs="Arial"/>
                <w:color w:val="04326C"/>
                <w:sz w:val="20"/>
              </w:rPr>
              <w:fldChar w:fldCharType="end"/>
            </w:r>
          </w:p>
        </w:tc>
        <w:tc>
          <w:tcPr>
            <w:tcW w:w="533" w:type="dxa"/>
            <w:shd w:val="clear" w:color="auto" w:fill="auto"/>
            <w:noWrap/>
            <w:vAlign w:val="center"/>
          </w:tcPr>
          <w:p w14:paraId="66A0C6D6" w14:textId="45792202"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40F8E9C4" w14:textId="3BA90201"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282CDEDE" w14:textId="757F16A7"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C6EBC3E" w14:textId="16D25FD6"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1F388F4F" w14:textId="3D75EC0A"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3A1CE093" w14:textId="75B0F0E0"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vAlign w:val="center"/>
          </w:tcPr>
          <w:p w14:paraId="4E167378" w14:textId="7CF824C9"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533" w:type="dxa"/>
            <w:shd w:val="clear" w:color="auto" w:fill="auto"/>
            <w:noWrap/>
            <w:vAlign w:val="center"/>
          </w:tcPr>
          <w:p w14:paraId="57DE9C0B" w14:textId="0E04008F" w:rsidR="002907BC" w:rsidRPr="00A324A7" w:rsidRDefault="002907BC" w:rsidP="00F64F20">
            <w:pPr>
              <w:snapToGrid w:val="0"/>
              <w:spacing w:after="0" w:line="240" w:lineRule="auto"/>
              <w:jc w:val="center"/>
              <w:rPr>
                <w:rFonts w:asciiTheme="minorHAnsi" w:eastAsia="Times New Roman" w:hAnsiTheme="minorHAnsi" w:cstheme="majorHAnsi"/>
                <w:color w:val="04326C"/>
                <w:sz w:val="20"/>
                <w:szCs w:val="20"/>
              </w:rPr>
            </w:pPr>
            <w:r w:rsidRPr="00A324A7">
              <w:rPr>
                <w:rFonts w:asciiTheme="minorHAnsi" w:eastAsia="Times New Roman" w:hAnsiTheme="minorHAnsi" w:cstheme="majorHAnsi"/>
                <w:color w:val="04326C"/>
                <w:sz w:val="20"/>
                <w:szCs w:val="20"/>
              </w:rPr>
              <w:fldChar w:fldCharType="begin">
                <w:ffData>
                  <w:name w:val="Check1"/>
                  <w:enabled/>
                  <w:calcOnExit w:val="0"/>
                  <w:checkBox>
                    <w:sizeAuto/>
                    <w:default w:val="0"/>
                  </w:checkBox>
                </w:ffData>
              </w:fldChar>
            </w:r>
            <w:r w:rsidRPr="00A324A7">
              <w:rPr>
                <w:rFonts w:asciiTheme="minorHAnsi" w:eastAsia="Times New Roman" w:hAnsiTheme="minorHAnsi" w:cstheme="majorHAnsi"/>
                <w:color w:val="04326C"/>
                <w:sz w:val="20"/>
                <w:szCs w:val="20"/>
              </w:rPr>
              <w:instrText xml:space="preserve"> FORMCHECKBOX </w:instrText>
            </w:r>
            <w:r w:rsidR="00BF3A85">
              <w:rPr>
                <w:rFonts w:asciiTheme="minorHAnsi" w:eastAsia="Times New Roman" w:hAnsiTheme="minorHAnsi" w:cstheme="majorHAnsi"/>
                <w:color w:val="04326C"/>
                <w:sz w:val="20"/>
                <w:szCs w:val="20"/>
              </w:rPr>
            </w:r>
            <w:r w:rsidR="00BF3A85">
              <w:rPr>
                <w:rFonts w:asciiTheme="minorHAnsi" w:eastAsia="Times New Roman" w:hAnsiTheme="minorHAnsi" w:cstheme="majorHAnsi"/>
                <w:color w:val="04326C"/>
                <w:sz w:val="20"/>
                <w:szCs w:val="20"/>
              </w:rPr>
              <w:fldChar w:fldCharType="separate"/>
            </w:r>
            <w:r w:rsidRPr="00A324A7">
              <w:rPr>
                <w:rFonts w:asciiTheme="minorHAnsi" w:eastAsia="Times New Roman" w:hAnsiTheme="minorHAnsi" w:cstheme="majorHAnsi"/>
                <w:color w:val="04326C"/>
                <w:sz w:val="20"/>
                <w:szCs w:val="20"/>
              </w:rPr>
              <w:fldChar w:fldCharType="end"/>
            </w:r>
          </w:p>
        </w:tc>
        <w:tc>
          <w:tcPr>
            <w:tcW w:w="3011" w:type="dxa"/>
            <w:shd w:val="clear" w:color="auto" w:fill="auto"/>
            <w:noWrap/>
            <w:vAlign w:val="center"/>
          </w:tcPr>
          <w:p w14:paraId="121543BE" w14:textId="001C5E41" w:rsidR="002907BC" w:rsidRPr="0078667F" w:rsidRDefault="002907BC" w:rsidP="00F64F20">
            <w:pPr>
              <w:rPr>
                <w:rFonts w:asciiTheme="minorHAnsi" w:eastAsia="Times New Roman" w:hAnsiTheme="minorHAnsi" w:cstheme="majorHAnsi"/>
                <w:sz w:val="20"/>
                <w:szCs w:val="20"/>
              </w:rPr>
            </w:pPr>
            <w:r w:rsidRPr="00042660">
              <w:rPr>
                <w:rFonts w:asciiTheme="minorHAnsi" w:hAnsiTheme="minorHAnsi" w:cs="Arial"/>
                <w:color w:val="04326C"/>
                <w:sz w:val="20"/>
              </w:rPr>
              <w:fldChar w:fldCharType="begin">
                <w:ffData>
                  <w:name w:val="txt2_1"/>
                  <w:enabled/>
                  <w:calcOnExit w:val="0"/>
                  <w:textInput/>
                </w:ffData>
              </w:fldChar>
            </w:r>
            <w:r w:rsidRPr="00042660">
              <w:rPr>
                <w:rFonts w:asciiTheme="minorHAnsi" w:hAnsiTheme="minorHAnsi" w:cs="Arial"/>
                <w:color w:val="04326C"/>
                <w:sz w:val="20"/>
              </w:rPr>
              <w:instrText xml:space="preserve"> FORMTEXT </w:instrText>
            </w:r>
            <w:r w:rsidRPr="00042660">
              <w:rPr>
                <w:rFonts w:asciiTheme="minorHAnsi" w:hAnsiTheme="minorHAnsi" w:cs="Arial"/>
                <w:color w:val="04326C"/>
                <w:sz w:val="20"/>
              </w:rPr>
            </w:r>
            <w:r w:rsidRPr="00042660">
              <w:rPr>
                <w:rFonts w:asciiTheme="minorHAnsi" w:hAnsiTheme="minorHAnsi" w:cs="Arial"/>
                <w:color w:val="04326C"/>
                <w:sz w:val="20"/>
              </w:rPr>
              <w:fldChar w:fldCharType="separate"/>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00BD77C6">
              <w:rPr>
                <w:rFonts w:asciiTheme="minorHAnsi" w:hAnsiTheme="minorHAnsi" w:cs="Arial"/>
                <w:noProof/>
                <w:color w:val="04326C"/>
                <w:sz w:val="20"/>
              </w:rPr>
              <w:t> </w:t>
            </w:r>
            <w:r w:rsidRPr="00042660">
              <w:rPr>
                <w:rFonts w:asciiTheme="minorHAnsi" w:hAnsiTheme="minorHAnsi" w:cs="Arial"/>
                <w:color w:val="04326C"/>
                <w:sz w:val="20"/>
              </w:rPr>
              <w:fldChar w:fldCharType="end"/>
            </w:r>
          </w:p>
        </w:tc>
      </w:tr>
    </w:tbl>
    <w:p w14:paraId="552EEC92" w14:textId="621464C2" w:rsidR="0078667F" w:rsidRPr="0078667F" w:rsidRDefault="0078667F" w:rsidP="0078667F">
      <w:pPr>
        <w:rPr>
          <w:rFonts w:eastAsia="Lato Light" w:cstheme="majorHAnsi"/>
          <w:sz w:val="32"/>
          <w:szCs w:val="32"/>
        </w:rPr>
        <w:sectPr w:rsidR="0078667F" w:rsidRPr="0078667F" w:rsidSect="00C444D1">
          <w:pgSz w:w="15840" w:h="12240" w:orient="landscape"/>
          <w:pgMar w:top="720" w:right="720" w:bottom="720" w:left="720" w:header="720" w:footer="720" w:gutter="0"/>
          <w:cols w:space="720"/>
          <w:docGrid w:linePitch="299"/>
        </w:sectPr>
      </w:pPr>
    </w:p>
    <w:p w14:paraId="5291C02D" w14:textId="374D4BC7" w:rsidR="00600745" w:rsidRPr="00C94148" w:rsidRDefault="00600745" w:rsidP="00C94148">
      <w:pPr>
        <w:pStyle w:val="Heading3"/>
      </w:pPr>
      <w:bookmarkStart w:id="13" w:name="_Toc527969656"/>
      <w:r w:rsidRPr="00C94148">
        <w:lastRenderedPageBreak/>
        <w:t xml:space="preserve">Table 2. </w:t>
      </w:r>
      <w:r w:rsidR="00DF5980" w:rsidRPr="00C94148">
        <w:t>Funding for Adult Education Programs and Services</w:t>
      </w:r>
      <w:bookmarkEnd w:id="13"/>
    </w:p>
    <w:tbl>
      <w:tblPr>
        <w:tblW w:w="9540" w:type="dxa"/>
        <w:tblLook w:val="04A0" w:firstRow="1" w:lastRow="0" w:firstColumn="1" w:lastColumn="0" w:noHBand="0" w:noVBand="1"/>
      </w:tblPr>
      <w:tblGrid>
        <w:gridCol w:w="3420"/>
        <w:gridCol w:w="2040"/>
        <w:gridCol w:w="2040"/>
        <w:gridCol w:w="2040"/>
      </w:tblGrid>
      <w:tr w:rsidR="00915E51" w:rsidRPr="00915E51" w14:paraId="1C56D4EB" w14:textId="77777777" w:rsidTr="00915E51">
        <w:trPr>
          <w:trHeight w:val="700"/>
        </w:trPr>
        <w:tc>
          <w:tcPr>
            <w:tcW w:w="3420" w:type="dxa"/>
            <w:tcBorders>
              <w:top w:val="single" w:sz="4" w:space="0" w:color="999999"/>
              <w:left w:val="single" w:sz="4" w:space="0" w:color="999999"/>
              <w:bottom w:val="nil"/>
              <w:right w:val="single" w:sz="4" w:space="0" w:color="999999"/>
            </w:tcBorders>
            <w:shd w:val="clear" w:color="073763" w:fill="073763"/>
            <w:vAlign w:val="center"/>
            <w:hideMark/>
          </w:tcPr>
          <w:p w14:paraId="3C5E7E12"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bookmarkStart w:id="14" w:name="_i6up0sepe37c" w:colFirst="0" w:colLast="0"/>
            <w:bookmarkEnd w:id="14"/>
            <w:r w:rsidRPr="00915E51">
              <w:rPr>
                <w:rFonts w:ascii="Avenir Roman" w:eastAsia="Times New Roman" w:hAnsi="Avenir Roman" w:cs="Arial"/>
                <w:b/>
                <w:bCs/>
                <w:color w:val="FFFFFF"/>
                <w:sz w:val="20"/>
                <w:szCs w:val="20"/>
              </w:rPr>
              <w:t>Source and Type of Funds</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01742A5"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FY2019-20</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67648011"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FY2020-21</w:t>
            </w:r>
          </w:p>
        </w:tc>
        <w:tc>
          <w:tcPr>
            <w:tcW w:w="2040" w:type="dxa"/>
            <w:tcBorders>
              <w:top w:val="single" w:sz="4" w:space="0" w:color="999999"/>
              <w:left w:val="single" w:sz="4" w:space="0" w:color="999999"/>
              <w:bottom w:val="nil"/>
              <w:right w:val="single" w:sz="4" w:space="0" w:color="999999"/>
            </w:tcBorders>
            <w:shd w:val="clear" w:color="073763" w:fill="073763"/>
            <w:vAlign w:val="center"/>
            <w:hideMark/>
          </w:tcPr>
          <w:p w14:paraId="1591FAFF" w14:textId="77777777" w:rsidR="00915E51" w:rsidRPr="00915E51" w:rsidRDefault="00915E51" w:rsidP="00915E51">
            <w:pPr>
              <w:spacing w:after="0" w:line="240" w:lineRule="auto"/>
              <w:jc w:val="center"/>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Funding Estimates FY2021-22</w:t>
            </w:r>
          </w:p>
        </w:tc>
      </w:tr>
      <w:tr w:rsidR="00915E51" w:rsidRPr="00915E51" w14:paraId="20BBE9E3"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4A32EB66" w14:textId="77777777" w:rsidR="00915E51" w:rsidRPr="00915E51" w:rsidRDefault="00915E51" w:rsidP="00915E51">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State / Federal Funding</w:t>
            </w:r>
          </w:p>
        </w:tc>
        <w:tc>
          <w:tcPr>
            <w:tcW w:w="2040" w:type="dxa"/>
            <w:tcBorders>
              <w:top w:val="single" w:sz="4" w:space="0" w:color="999999"/>
              <w:left w:val="nil"/>
              <w:bottom w:val="single" w:sz="4" w:space="0" w:color="999999"/>
              <w:right w:val="nil"/>
            </w:tcBorders>
            <w:shd w:val="clear" w:color="C0C0C0" w:fill="C0C0C0"/>
            <w:vAlign w:val="center"/>
            <w:hideMark/>
          </w:tcPr>
          <w:p w14:paraId="1E7D9275"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nil"/>
            </w:tcBorders>
            <w:shd w:val="clear" w:color="C0C0C0" w:fill="C0C0C0"/>
            <w:vAlign w:val="center"/>
            <w:hideMark/>
          </w:tcPr>
          <w:p w14:paraId="52684348"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04EA0484" w14:textId="77777777" w:rsidR="00915E51" w:rsidRPr="00915E51" w:rsidRDefault="00915E51" w:rsidP="00915E51">
            <w:pPr>
              <w:spacing w:after="0" w:line="240" w:lineRule="auto"/>
              <w:jc w:val="center"/>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w:t>
            </w:r>
          </w:p>
        </w:tc>
      </w:tr>
      <w:tr w:rsidR="00DF5980" w:rsidRPr="00915E51" w14:paraId="6C620EC3"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4086A33" w14:textId="77777777" w:rsidR="00DF5980" w:rsidRPr="00915E51" w:rsidRDefault="00DF5980" w:rsidP="00DF5980">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AEP</w:t>
            </w:r>
          </w:p>
        </w:tc>
        <w:tc>
          <w:tcPr>
            <w:tcW w:w="2040" w:type="dxa"/>
            <w:tcBorders>
              <w:top w:val="nil"/>
              <w:left w:val="nil"/>
              <w:bottom w:val="single" w:sz="4" w:space="0" w:color="999999"/>
              <w:right w:val="single" w:sz="4" w:space="0" w:color="999999"/>
            </w:tcBorders>
            <w:shd w:val="clear" w:color="auto" w:fill="auto"/>
            <w:noWrap/>
            <w:vAlign w:val="center"/>
            <w:hideMark/>
          </w:tcPr>
          <w:p w14:paraId="31DF2455" w14:textId="73B20FAA" w:rsidR="00DF5980" w:rsidRPr="00A324A7" w:rsidRDefault="00DF5980" w:rsidP="00DF5980">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bookmarkStart w:id="15" w:name="aep1"/>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D77C6">
              <w:rPr>
                <w:rFonts w:asciiTheme="minorHAnsi" w:eastAsia="Times New Roman" w:hAnsiTheme="minorHAnsi" w:cs="Arial"/>
                <w:noProof/>
                <w:color w:val="04326C"/>
                <w:sz w:val="20"/>
                <w:szCs w:val="20"/>
              </w:rPr>
              <w:t>$</w:t>
            </w:r>
            <w:r w:rsidR="00935DB7">
              <w:rPr>
                <w:rFonts w:asciiTheme="minorHAnsi" w:eastAsia="Times New Roman" w:hAnsiTheme="minorHAnsi" w:cs="Arial"/>
                <w:noProof/>
                <w:color w:val="04326C"/>
                <w:sz w:val="20"/>
                <w:szCs w:val="20"/>
              </w:rPr>
              <w:t>1,142,</w:t>
            </w:r>
            <w:r w:rsidR="00BD77C6">
              <w:rPr>
                <w:rFonts w:asciiTheme="minorHAnsi" w:eastAsia="Times New Roman" w:hAnsiTheme="minorHAnsi" w:cs="Arial"/>
                <w:noProof/>
                <w:color w:val="04326C"/>
                <w:sz w:val="20"/>
                <w:szCs w:val="20"/>
              </w:rPr>
              <w:t>0</w:t>
            </w:r>
            <w:r w:rsidR="00935DB7">
              <w:rPr>
                <w:rFonts w:asciiTheme="minorHAnsi" w:eastAsia="Times New Roman" w:hAnsiTheme="minorHAnsi" w:cs="Arial"/>
                <w:noProof/>
                <w:color w:val="04326C"/>
                <w:sz w:val="20"/>
                <w:szCs w:val="20"/>
              </w:rPr>
              <w:t>85</w:t>
            </w:r>
            <w:r w:rsidRPr="00A324A7">
              <w:rPr>
                <w:rFonts w:asciiTheme="minorHAnsi" w:eastAsia="Times New Roman" w:hAnsiTheme="minorHAnsi" w:cs="Arial"/>
                <w:color w:val="04326C"/>
                <w:sz w:val="20"/>
                <w:szCs w:val="20"/>
              </w:rPr>
              <w:fldChar w:fldCharType="end"/>
            </w:r>
            <w:bookmarkEnd w:id="15"/>
          </w:p>
        </w:tc>
        <w:tc>
          <w:tcPr>
            <w:tcW w:w="2040" w:type="dxa"/>
            <w:tcBorders>
              <w:top w:val="nil"/>
              <w:left w:val="nil"/>
              <w:bottom w:val="single" w:sz="4" w:space="0" w:color="999999"/>
              <w:right w:val="single" w:sz="4" w:space="0" w:color="999999"/>
            </w:tcBorders>
            <w:shd w:val="clear" w:color="auto" w:fill="auto"/>
            <w:noWrap/>
            <w:vAlign w:val="center"/>
            <w:hideMark/>
          </w:tcPr>
          <w:p w14:paraId="5881A9BE" w14:textId="70EE4F0C" w:rsidR="00DF5980" w:rsidRPr="00A324A7" w:rsidRDefault="00DF5980" w:rsidP="00DF5980">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D77C6">
              <w:rPr>
                <w:rFonts w:asciiTheme="minorHAnsi" w:eastAsia="Times New Roman" w:hAnsiTheme="minorHAnsi" w:cs="Arial"/>
                <w:noProof/>
                <w:color w:val="04326C"/>
                <w:sz w:val="20"/>
                <w:szCs w:val="20"/>
              </w:rPr>
              <w:t>$</w:t>
            </w:r>
            <w:r w:rsidR="00935DB7">
              <w:rPr>
                <w:rFonts w:asciiTheme="minorHAnsi" w:eastAsia="Times New Roman" w:hAnsiTheme="minorHAnsi" w:cs="Arial"/>
                <w:noProof/>
                <w:color w:val="04326C"/>
                <w:sz w:val="20"/>
                <w:szCs w:val="20"/>
              </w:rPr>
              <w:t>1,142,</w:t>
            </w:r>
            <w:r w:rsidR="00BD77C6">
              <w:rPr>
                <w:rFonts w:asciiTheme="minorHAnsi" w:eastAsia="Times New Roman" w:hAnsiTheme="minorHAnsi" w:cs="Arial"/>
                <w:noProof/>
                <w:color w:val="04326C"/>
                <w:sz w:val="20"/>
                <w:szCs w:val="20"/>
              </w:rPr>
              <w:t>0</w:t>
            </w:r>
            <w:r w:rsidR="00935DB7">
              <w:rPr>
                <w:rFonts w:asciiTheme="minorHAnsi" w:eastAsia="Times New Roman" w:hAnsiTheme="minorHAnsi" w:cs="Arial"/>
                <w:noProof/>
                <w:color w:val="04326C"/>
                <w:sz w:val="20"/>
                <w:szCs w:val="20"/>
              </w:rPr>
              <w:t>85</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9C833" w14:textId="25FB26DA" w:rsidR="00DF5980" w:rsidRPr="00A324A7" w:rsidRDefault="00DF5980" w:rsidP="00935DB7">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BD77C6">
              <w:rPr>
                <w:rFonts w:asciiTheme="minorHAnsi" w:eastAsia="Times New Roman" w:hAnsiTheme="minorHAnsi" w:cs="Arial"/>
                <w:noProof/>
                <w:color w:val="04326C"/>
                <w:sz w:val="20"/>
                <w:szCs w:val="20"/>
              </w:rPr>
              <w:t>$</w:t>
            </w:r>
            <w:r w:rsidR="00935DB7">
              <w:rPr>
                <w:rFonts w:asciiTheme="minorHAnsi" w:eastAsia="Times New Roman" w:hAnsiTheme="minorHAnsi" w:cs="Arial"/>
                <w:noProof/>
                <w:color w:val="04326C"/>
                <w:sz w:val="20"/>
                <w:szCs w:val="20"/>
              </w:rPr>
              <w:t>1,142,085</w:t>
            </w:r>
            <w:r w:rsidRPr="00A324A7">
              <w:rPr>
                <w:rFonts w:asciiTheme="minorHAnsi" w:eastAsia="Times New Roman" w:hAnsiTheme="minorHAnsi" w:cs="Arial"/>
                <w:color w:val="04326C"/>
                <w:sz w:val="20"/>
                <w:szCs w:val="20"/>
              </w:rPr>
              <w:fldChar w:fldCharType="end"/>
            </w:r>
          </w:p>
        </w:tc>
      </w:tr>
      <w:tr w:rsidR="00776666" w:rsidRPr="00915E51" w14:paraId="130636C7" w14:textId="77777777" w:rsidTr="00A41729">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9BE7A74" w14:textId="043AB1E0" w:rsidR="00776666" w:rsidRPr="00915E51" w:rsidRDefault="00776666" w:rsidP="00A41729">
            <w:pPr>
              <w:spacing w:after="0" w:line="240" w:lineRule="auto"/>
              <w:rPr>
                <w:rFonts w:ascii="Avenir Roman" w:eastAsia="Times New Roman" w:hAnsi="Avenir Roman" w:cs="Arial"/>
                <w:b/>
                <w:bCs/>
                <w:color w:val="auto"/>
                <w:sz w:val="20"/>
                <w:szCs w:val="20"/>
              </w:rPr>
            </w:pPr>
            <w:r w:rsidRPr="00D95331">
              <w:rPr>
                <w:rFonts w:ascii="Avenir Roman" w:eastAsia="Times New Roman" w:hAnsi="Avenir Roman" w:cs="Arial"/>
                <w:b/>
                <w:bCs/>
                <w:color w:val="auto"/>
                <w:sz w:val="20"/>
                <w:szCs w:val="20"/>
              </w:rPr>
              <w:t>CalWORK</w:t>
            </w:r>
            <w:r>
              <w:rPr>
                <w:rFonts w:ascii="Avenir Roman" w:eastAsia="Times New Roman" w:hAnsi="Avenir Roman" w:cs="Arial"/>
                <w:b/>
                <w:bCs/>
                <w:color w:val="auto"/>
                <w:sz w:val="20"/>
                <w:szCs w:val="20"/>
              </w:rPr>
              <w:t>s</w:t>
            </w:r>
          </w:p>
        </w:tc>
        <w:tc>
          <w:tcPr>
            <w:tcW w:w="2040" w:type="dxa"/>
            <w:tcBorders>
              <w:top w:val="nil"/>
              <w:left w:val="nil"/>
              <w:bottom w:val="single" w:sz="4" w:space="0" w:color="999999"/>
              <w:right w:val="single" w:sz="4" w:space="0" w:color="999999"/>
            </w:tcBorders>
            <w:shd w:val="clear" w:color="auto" w:fill="auto"/>
            <w:noWrap/>
            <w:vAlign w:val="center"/>
            <w:hideMark/>
          </w:tcPr>
          <w:p w14:paraId="5B6C98C5"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702D953B"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FC2E635"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847CD88" w14:textId="77777777" w:rsidTr="00A41729">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979C50C" w14:textId="77777777" w:rsidR="00776666" w:rsidRPr="00915E51" w:rsidRDefault="00776666" w:rsidP="00A41729">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CCD Apportionment</w:t>
            </w:r>
          </w:p>
        </w:tc>
        <w:tc>
          <w:tcPr>
            <w:tcW w:w="2040" w:type="dxa"/>
            <w:tcBorders>
              <w:top w:val="nil"/>
              <w:left w:val="nil"/>
              <w:bottom w:val="single" w:sz="4" w:space="0" w:color="999999"/>
              <w:right w:val="single" w:sz="4" w:space="0" w:color="999999"/>
            </w:tcBorders>
            <w:shd w:val="clear" w:color="auto" w:fill="auto"/>
            <w:noWrap/>
            <w:vAlign w:val="center"/>
            <w:hideMark/>
          </w:tcPr>
          <w:p w14:paraId="7F895CF5"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3C03005"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EFF03F7"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52CFF58" w14:textId="77777777" w:rsidTr="00A41729">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2BBABD" w14:textId="77777777" w:rsidR="00776666" w:rsidRPr="00915E51" w:rsidRDefault="00776666" w:rsidP="00A41729">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Corrections</w:t>
            </w:r>
          </w:p>
        </w:tc>
        <w:tc>
          <w:tcPr>
            <w:tcW w:w="2040" w:type="dxa"/>
            <w:tcBorders>
              <w:top w:val="nil"/>
              <w:left w:val="nil"/>
              <w:bottom w:val="single" w:sz="4" w:space="0" w:color="999999"/>
              <w:right w:val="single" w:sz="4" w:space="0" w:color="999999"/>
            </w:tcBorders>
            <w:shd w:val="clear" w:color="auto" w:fill="auto"/>
            <w:noWrap/>
            <w:vAlign w:val="center"/>
            <w:hideMark/>
          </w:tcPr>
          <w:p w14:paraId="76A79F2D"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927C3C"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69B4B913" w14:textId="77777777" w:rsidR="00776666" w:rsidRPr="00A324A7" w:rsidRDefault="00776666" w:rsidP="00A41729">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ADFCFA1" w14:textId="77777777" w:rsidTr="00A41729">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A4261A" w14:textId="2453751D" w:rsidR="00776666" w:rsidRPr="00915E51" w:rsidRDefault="00776666" w:rsidP="00776666">
            <w:pPr>
              <w:spacing w:after="0" w:line="240" w:lineRule="auto"/>
              <w:rPr>
                <w:rFonts w:ascii="Avenir Roman" w:eastAsia="Times New Roman" w:hAnsi="Avenir Roman" w:cs="Arial"/>
                <w:b/>
                <w:bCs/>
                <w:color w:val="auto"/>
                <w:sz w:val="20"/>
                <w:szCs w:val="20"/>
              </w:rPr>
            </w:pPr>
            <w:r>
              <w:rPr>
                <w:rFonts w:ascii="Avenir Roman" w:eastAsia="Times New Roman" w:hAnsi="Avenir Roman" w:cs="Arial"/>
                <w:b/>
                <w:bCs/>
                <w:color w:val="auto"/>
                <w:sz w:val="20"/>
                <w:szCs w:val="20"/>
              </w:rPr>
              <w:t>LCFF / District Funds</w:t>
            </w:r>
          </w:p>
        </w:tc>
        <w:tc>
          <w:tcPr>
            <w:tcW w:w="2040" w:type="dxa"/>
            <w:tcBorders>
              <w:top w:val="nil"/>
              <w:left w:val="nil"/>
              <w:bottom w:val="single" w:sz="4" w:space="0" w:color="999999"/>
              <w:right w:val="single" w:sz="4" w:space="0" w:color="999999"/>
            </w:tcBorders>
            <w:shd w:val="clear" w:color="auto" w:fill="auto"/>
            <w:noWrap/>
            <w:vAlign w:val="center"/>
          </w:tcPr>
          <w:p w14:paraId="1B566773" w14:textId="2A4EF0C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tcPr>
          <w:p w14:paraId="5CCB5C80" w14:textId="3178796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tcPr>
          <w:p w14:paraId="00A87D69" w14:textId="75D6669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C7D0C85" w14:textId="77777777" w:rsidTr="00A41729">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3C2F7A08"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Perkins V</w:t>
            </w:r>
          </w:p>
        </w:tc>
        <w:tc>
          <w:tcPr>
            <w:tcW w:w="2040" w:type="dxa"/>
            <w:tcBorders>
              <w:top w:val="nil"/>
              <w:left w:val="nil"/>
              <w:bottom w:val="single" w:sz="4" w:space="0" w:color="999999"/>
              <w:right w:val="single" w:sz="4" w:space="0" w:color="999999"/>
            </w:tcBorders>
            <w:shd w:val="clear" w:color="auto" w:fill="auto"/>
            <w:noWrap/>
            <w:vAlign w:val="center"/>
            <w:hideMark/>
          </w:tcPr>
          <w:p w14:paraId="04695E7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9591793"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9EA4C47" w14:textId="7777777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23AABDE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08DD3E90" w14:textId="16372B94"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 xml:space="preserve">WIOA </w:t>
            </w:r>
            <w:r>
              <w:rPr>
                <w:rFonts w:ascii="Avenir Roman" w:eastAsia="Times New Roman" w:hAnsi="Avenir Roman" w:cs="Arial"/>
                <w:b/>
                <w:bCs/>
                <w:color w:val="auto"/>
                <w:sz w:val="20"/>
                <w:szCs w:val="20"/>
              </w:rPr>
              <w:t>II</w:t>
            </w:r>
          </w:p>
        </w:tc>
        <w:tc>
          <w:tcPr>
            <w:tcW w:w="2040" w:type="dxa"/>
            <w:tcBorders>
              <w:top w:val="nil"/>
              <w:left w:val="nil"/>
              <w:bottom w:val="single" w:sz="4" w:space="0" w:color="999999"/>
              <w:right w:val="single" w:sz="4" w:space="0" w:color="999999"/>
            </w:tcBorders>
            <w:shd w:val="clear" w:color="auto" w:fill="auto"/>
            <w:noWrap/>
            <w:vAlign w:val="center"/>
            <w:hideMark/>
          </w:tcPr>
          <w:p w14:paraId="2AB5D2BC" w14:textId="105226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sidR="00854E06">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624786" w14:textId="5F5C3E60"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015E8F43" w14:textId="3ACE70A7"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E3D2FEA" w14:textId="77777777" w:rsidTr="00915E51">
        <w:trPr>
          <w:trHeight w:val="500"/>
        </w:trPr>
        <w:tc>
          <w:tcPr>
            <w:tcW w:w="3420" w:type="dxa"/>
            <w:tcBorders>
              <w:top w:val="single" w:sz="4" w:space="0" w:color="999999"/>
              <w:left w:val="single" w:sz="4" w:space="0" w:color="999999"/>
              <w:bottom w:val="single" w:sz="4" w:space="0" w:color="999999"/>
              <w:right w:val="nil"/>
            </w:tcBorders>
            <w:shd w:val="clear" w:color="C0C0C0" w:fill="C0C0C0"/>
            <w:vAlign w:val="center"/>
            <w:hideMark/>
          </w:tcPr>
          <w:p w14:paraId="78AFB88F" w14:textId="77777777" w:rsidR="00776666" w:rsidRPr="00915E51" w:rsidRDefault="00776666" w:rsidP="00776666">
            <w:pPr>
              <w:spacing w:after="0" w:line="240" w:lineRule="auto"/>
              <w:rPr>
                <w:rFonts w:ascii="Avenir Roman" w:eastAsia="Times New Roman" w:hAnsi="Avenir Roman" w:cs="Arial"/>
                <w:b/>
                <w:bCs/>
                <w:color w:val="auto"/>
                <w:sz w:val="20"/>
                <w:szCs w:val="20"/>
              </w:rPr>
            </w:pPr>
            <w:r w:rsidRPr="00915E51">
              <w:rPr>
                <w:rFonts w:ascii="Avenir Roman" w:eastAsia="Times New Roman" w:hAnsi="Avenir Roman" w:cs="Arial"/>
                <w:b/>
                <w:bCs/>
                <w:color w:val="auto"/>
                <w:sz w:val="20"/>
                <w:szCs w:val="20"/>
              </w:rPr>
              <w:t>Other</w:t>
            </w:r>
          </w:p>
        </w:tc>
        <w:tc>
          <w:tcPr>
            <w:tcW w:w="2040" w:type="dxa"/>
            <w:tcBorders>
              <w:top w:val="nil"/>
              <w:left w:val="nil"/>
              <w:bottom w:val="single" w:sz="4" w:space="0" w:color="999999"/>
              <w:right w:val="nil"/>
            </w:tcBorders>
            <w:shd w:val="clear" w:color="C0C0C0" w:fill="C0C0C0"/>
            <w:vAlign w:val="center"/>
            <w:hideMark/>
          </w:tcPr>
          <w:p w14:paraId="084830FD" w14:textId="57AC61B0"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nil"/>
              <w:left w:val="nil"/>
              <w:bottom w:val="single" w:sz="4" w:space="0" w:color="999999"/>
              <w:right w:val="nil"/>
            </w:tcBorders>
            <w:shd w:val="clear" w:color="C0C0C0" w:fill="C0C0C0"/>
            <w:vAlign w:val="center"/>
            <w:hideMark/>
          </w:tcPr>
          <w:p w14:paraId="548C0C7C" w14:textId="47EEB2C3"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c>
          <w:tcPr>
            <w:tcW w:w="2040" w:type="dxa"/>
            <w:tcBorders>
              <w:top w:val="single" w:sz="4" w:space="0" w:color="999999"/>
              <w:left w:val="nil"/>
              <w:bottom w:val="single" w:sz="4" w:space="0" w:color="999999"/>
              <w:right w:val="single" w:sz="4" w:space="0" w:color="999999"/>
            </w:tcBorders>
            <w:shd w:val="clear" w:color="C0C0C0" w:fill="C0C0C0"/>
            <w:vAlign w:val="center"/>
            <w:hideMark/>
          </w:tcPr>
          <w:p w14:paraId="1BC7E231" w14:textId="38AA5F7F" w:rsidR="00776666" w:rsidRPr="00775D42" w:rsidRDefault="00776666" w:rsidP="00776666">
            <w:pPr>
              <w:spacing w:after="0" w:line="240" w:lineRule="auto"/>
              <w:jc w:val="right"/>
              <w:rPr>
                <w:rFonts w:asciiTheme="minorHAnsi" w:eastAsia="Times New Roman" w:hAnsiTheme="minorHAnsi" w:cs="Arial"/>
                <w:b/>
                <w:bCs/>
                <w:color w:val="BFBFBF" w:themeColor="background1" w:themeShade="BF"/>
                <w:sz w:val="20"/>
                <w:szCs w:val="20"/>
              </w:rPr>
            </w:pPr>
            <w:r w:rsidRPr="00775D42">
              <w:rPr>
                <w:rFonts w:asciiTheme="minorHAnsi" w:eastAsia="Times New Roman" w:hAnsiTheme="minorHAnsi" w:cs="Arial"/>
                <w:b/>
                <w:bCs/>
                <w:color w:val="BFBFBF" w:themeColor="background1" w:themeShade="BF"/>
                <w:sz w:val="20"/>
                <w:szCs w:val="20"/>
              </w:rPr>
              <w:fldChar w:fldCharType="begin">
                <w:ffData>
                  <w:name w:val=""/>
                  <w:enabled w:val="0"/>
                  <w:calcOnExit w:val="0"/>
                  <w:textInput>
                    <w:type w:val="number"/>
                    <w:default w:val="$0"/>
                    <w:format w:val="$#,##0"/>
                  </w:textInput>
                </w:ffData>
              </w:fldChar>
            </w:r>
            <w:r w:rsidRPr="00775D42">
              <w:rPr>
                <w:rFonts w:asciiTheme="minorHAnsi" w:eastAsia="Times New Roman" w:hAnsiTheme="minorHAnsi" w:cs="Arial"/>
                <w:b/>
                <w:bCs/>
                <w:color w:val="BFBFBF" w:themeColor="background1" w:themeShade="BF"/>
                <w:sz w:val="20"/>
                <w:szCs w:val="20"/>
              </w:rPr>
              <w:instrText xml:space="preserve"> FORMTEXT </w:instrText>
            </w:r>
            <w:r w:rsidRPr="00775D42">
              <w:rPr>
                <w:rFonts w:asciiTheme="minorHAnsi" w:eastAsia="Times New Roman" w:hAnsiTheme="minorHAnsi" w:cs="Arial"/>
                <w:b/>
                <w:bCs/>
                <w:color w:val="BFBFBF" w:themeColor="background1" w:themeShade="BF"/>
                <w:sz w:val="20"/>
                <w:szCs w:val="20"/>
              </w:rPr>
            </w:r>
            <w:r w:rsidRPr="00775D42">
              <w:rPr>
                <w:rFonts w:asciiTheme="minorHAnsi" w:eastAsia="Times New Roman" w:hAnsiTheme="minorHAnsi" w:cs="Arial"/>
                <w:b/>
                <w:bCs/>
                <w:color w:val="BFBFBF" w:themeColor="background1" w:themeShade="BF"/>
                <w:sz w:val="20"/>
                <w:szCs w:val="20"/>
              </w:rPr>
              <w:fldChar w:fldCharType="separate"/>
            </w:r>
            <w:r>
              <w:rPr>
                <w:rFonts w:asciiTheme="minorHAnsi" w:eastAsia="Times New Roman" w:hAnsiTheme="minorHAnsi" w:cs="Arial"/>
                <w:b/>
                <w:bCs/>
                <w:noProof/>
                <w:color w:val="BFBFBF" w:themeColor="background1" w:themeShade="BF"/>
                <w:sz w:val="20"/>
                <w:szCs w:val="20"/>
              </w:rPr>
              <w:t>$0</w:t>
            </w:r>
            <w:r w:rsidRPr="00775D42">
              <w:rPr>
                <w:rFonts w:asciiTheme="minorHAnsi" w:eastAsia="Times New Roman" w:hAnsiTheme="minorHAnsi" w:cs="Arial"/>
                <w:b/>
                <w:bCs/>
                <w:color w:val="BFBFBF" w:themeColor="background1" w:themeShade="BF"/>
                <w:sz w:val="20"/>
                <w:szCs w:val="20"/>
              </w:rPr>
              <w:fldChar w:fldCharType="end"/>
            </w:r>
          </w:p>
        </w:tc>
      </w:tr>
      <w:tr w:rsidR="00776666" w:rsidRPr="00915E51" w14:paraId="77992256"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6C641419" w14:textId="667D6E89"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bookmarkStart w:id="16" w:name="Text2"/>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bookmarkEnd w:id="16"/>
          </w:p>
        </w:tc>
        <w:tc>
          <w:tcPr>
            <w:tcW w:w="2040" w:type="dxa"/>
            <w:tcBorders>
              <w:top w:val="nil"/>
              <w:left w:val="nil"/>
              <w:bottom w:val="single" w:sz="4" w:space="0" w:color="999999"/>
              <w:right w:val="single" w:sz="4" w:space="0" w:color="999999"/>
            </w:tcBorders>
            <w:shd w:val="clear" w:color="auto" w:fill="auto"/>
            <w:noWrap/>
            <w:vAlign w:val="center"/>
            <w:hideMark/>
          </w:tcPr>
          <w:p w14:paraId="5663F918" w14:textId="0CF04EA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457EADB" w14:textId="6CCA8292"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BD9A4EE" w14:textId="0CCC062C"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ACD05C0"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8C74251" w14:textId="77D57386"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F47E7AF" w14:textId="5725303B"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48FD847" w14:textId="5DB2CBA4"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3D68DC02" w14:textId="0C4934DD"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D644072"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6628C77" w14:textId="4819C453"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2DB3727F" w14:textId="14B0EDB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83C2DA1" w14:textId="2817EF6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17AF5BDF" w14:textId="06CB3203"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7987FD0E"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4A09255D" w14:textId="0B438DDE"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5BEB335B" w14:textId="37782D2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691E0A57" w14:textId="019E4CC5"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407F951B" w14:textId="13412FB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31BD9AF5"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7103F087" w14:textId="1C1B74E0"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3F2F615B" w14:textId="3B2C6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7B6B2B5" w14:textId="5BF3C60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56F28AA4" w14:textId="6D43C4AA"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526A8EA8" w14:textId="77777777" w:rsidTr="00DF5980">
        <w:trPr>
          <w:trHeight w:val="500"/>
        </w:trPr>
        <w:tc>
          <w:tcPr>
            <w:tcW w:w="342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51EE79A0" w14:textId="3A91F8FB" w:rsidR="00776666" w:rsidRPr="00A324A7" w:rsidRDefault="00776666" w:rsidP="00776666">
            <w:pPr>
              <w:spacing w:after="0" w:line="240" w:lineRule="auto"/>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Text2"/>
                  <w:enabled/>
                  <w:calcOnExi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Pr>
                <w:rFonts w:asciiTheme="minorHAnsi" w:eastAsia="Times New Roman" w:hAnsiTheme="minorHAnsi" w:cs="Arial"/>
                <w:noProof/>
                <w:color w:val="04326C"/>
                <w:sz w:val="20"/>
                <w:szCs w:val="20"/>
              </w:rPr>
              <w:t> </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44BCDA0C" w14:textId="4319C6D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nil"/>
              <w:left w:val="nil"/>
              <w:bottom w:val="single" w:sz="4" w:space="0" w:color="999999"/>
              <w:right w:val="single" w:sz="4" w:space="0" w:color="999999"/>
            </w:tcBorders>
            <w:shd w:val="clear" w:color="auto" w:fill="auto"/>
            <w:noWrap/>
            <w:vAlign w:val="center"/>
            <w:hideMark/>
          </w:tcPr>
          <w:p w14:paraId="1C05DFEB" w14:textId="1F496D01"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c>
          <w:tcPr>
            <w:tcW w:w="2040" w:type="dxa"/>
            <w:tcBorders>
              <w:top w:val="single" w:sz="4" w:space="0" w:color="999999"/>
              <w:left w:val="single" w:sz="4" w:space="0" w:color="999999"/>
              <w:bottom w:val="single" w:sz="4" w:space="0" w:color="999999"/>
              <w:right w:val="single" w:sz="4" w:space="0" w:color="999999"/>
            </w:tcBorders>
            <w:shd w:val="clear" w:color="auto" w:fill="auto"/>
            <w:noWrap/>
            <w:vAlign w:val="center"/>
            <w:hideMark/>
          </w:tcPr>
          <w:p w14:paraId="286C00E1" w14:textId="74B3DFA8" w:rsidR="00776666" w:rsidRPr="00A324A7" w:rsidRDefault="00776666" w:rsidP="00776666">
            <w:pPr>
              <w:spacing w:after="0" w:line="240" w:lineRule="auto"/>
              <w:jc w:val="right"/>
              <w:rPr>
                <w:rFonts w:asciiTheme="minorHAnsi" w:eastAsia="Times New Roman" w:hAnsiTheme="minorHAnsi" w:cs="Arial"/>
                <w:color w:val="04326C"/>
                <w:sz w:val="20"/>
                <w:szCs w:val="20"/>
              </w:rPr>
            </w:pPr>
            <w:r w:rsidRPr="00A324A7">
              <w:rPr>
                <w:rFonts w:asciiTheme="minorHAnsi" w:eastAsia="Times New Roman" w:hAnsiTheme="minorHAnsi" w:cs="Arial"/>
                <w:color w:val="04326C"/>
                <w:sz w:val="20"/>
                <w:szCs w:val="20"/>
              </w:rPr>
              <w:fldChar w:fldCharType="begin">
                <w:ffData>
                  <w:name w:val="aep1"/>
                  <w:enabled/>
                  <w:calcOnExit/>
                  <w:textInput>
                    <w:type w:val="number"/>
                    <w:default w:val="$0"/>
                    <w:format w:val="$#,##0"/>
                  </w:textInput>
                </w:ffData>
              </w:fldChar>
            </w:r>
            <w:r w:rsidRPr="00A324A7">
              <w:rPr>
                <w:rFonts w:asciiTheme="minorHAnsi" w:eastAsia="Times New Roman" w:hAnsiTheme="minorHAnsi" w:cs="Arial"/>
                <w:color w:val="04326C"/>
                <w:sz w:val="20"/>
                <w:szCs w:val="20"/>
              </w:rPr>
              <w:instrText xml:space="preserve"> FORMTEXT </w:instrText>
            </w:r>
            <w:r w:rsidRPr="00A324A7">
              <w:rPr>
                <w:rFonts w:asciiTheme="minorHAnsi" w:eastAsia="Times New Roman" w:hAnsiTheme="minorHAnsi" w:cs="Arial"/>
                <w:color w:val="04326C"/>
                <w:sz w:val="20"/>
                <w:szCs w:val="20"/>
              </w:rPr>
            </w:r>
            <w:r w:rsidRPr="00A324A7">
              <w:rPr>
                <w:rFonts w:asciiTheme="minorHAnsi" w:eastAsia="Times New Roman" w:hAnsiTheme="minorHAnsi" w:cs="Arial"/>
                <w:color w:val="04326C"/>
                <w:sz w:val="20"/>
                <w:szCs w:val="20"/>
              </w:rPr>
              <w:fldChar w:fldCharType="separate"/>
            </w:r>
            <w:r>
              <w:rPr>
                <w:rFonts w:asciiTheme="minorHAnsi" w:eastAsia="Times New Roman" w:hAnsiTheme="minorHAnsi" w:cs="Arial"/>
                <w:noProof/>
                <w:color w:val="04326C"/>
                <w:sz w:val="20"/>
                <w:szCs w:val="20"/>
              </w:rPr>
              <w:t>$0</w:t>
            </w:r>
            <w:r w:rsidRPr="00A324A7">
              <w:rPr>
                <w:rFonts w:asciiTheme="minorHAnsi" w:eastAsia="Times New Roman" w:hAnsiTheme="minorHAnsi" w:cs="Arial"/>
                <w:color w:val="04326C"/>
                <w:sz w:val="20"/>
                <w:szCs w:val="20"/>
              </w:rPr>
              <w:fldChar w:fldCharType="end"/>
            </w:r>
          </w:p>
        </w:tc>
      </w:tr>
      <w:tr w:rsidR="00776666" w:rsidRPr="00915E51" w14:paraId="6BF4198A" w14:textId="77777777" w:rsidTr="00915E51">
        <w:trPr>
          <w:trHeight w:val="500"/>
        </w:trPr>
        <w:tc>
          <w:tcPr>
            <w:tcW w:w="342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5CEF917B" w14:textId="77777777" w:rsidR="00776666" w:rsidRPr="00915E51" w:rsidRDefault="00776666" w:rsidP="00776666">
            <w:pPr>
              <w:spacing w:after="0" w:line="240" w:lineRule="auto"/>
              <w:rPr>
                <w:rFonts w:ascii="Avenir Roman" w:eastAsia="Times New Roman" w:hAnsi="Avenir Roman" w:cs="Arial"/>
                <w:b/>
                <w:bCs/>
                <w:color w:val="FFFFFF"/>
                <w:sz w:val="20"/>
                <w:szCs w:val="20"/>
              </w:rPr>
            </w:pPr>
            <w:r w:rsidRPr="00915E51">
              <w:rPr>
                <w:rFonts w:ascii="Avenir Roman" w:eastAsia="Times New Roman" w:hAnsi="Avenir Roman" w:cs="Arial"/>
                <w:b/>
                <w:bCs/>
                <w:color w:val="FFFFFF"/>
                <w:sz w:val="20"/>
                <w:szCs w:val="20"/>
              </w:rPr>
              <w:t>Total</w:t>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6DACFC57" w14:textId="3A7F6BDD"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Text3"/>
                  <w:enabled w:val="0"/>
                  <w:calcOnExit/>
                  <w:textInput>
                    <w:type w:val="calculated"/>
                    <w:default w:val="=SUM(ABOVE)"/>
                    <w:format w:val="$#,##0"/>
                  </w:textInput>
                </w:ffData>
              </w:fldChar>
            </w:r>
            <w:bookmarkStart w:id="17" w:name="Text3"/>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935DB7">
              <w:rPr>
                <w:rFonts w:asciiTheme="minorHAnsi" w:eastAsia="Times New Roman" w:hAnsiTheme="minorHAnsi" w:cs="Arial"/>
                <w:b/>
                <w:bCs/>
                <w:noProof/>
                <w:color w:val="FFFFFF" w:themeColor="background1"/>
                <w:sz w:val="20"/>
                <w:szCs w:val="20"/>
              </w:rPr>
              <w:instrText>$1,142,085.00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935DB7">
              <w:rPr>
                <w:rFonts w:asciiTheme="minorHAnsi" w:eastAsia="Times New Roman" w:hAnsiTheme="minorHAnsi" w:cs="Arial"/>
                <w:b/>
                <w:bCs/>
                <w:noProof/>
                <w:color w:val="FFFFFF" w:themeColor="background1"/>
                <w:sz w:val="20"/>
                <w:szCs w:val="20"/>
              </w:rPr>
              <w:t>$1,142,085</w:t>
            </w:r>
            <w:r>
              <w:rPr>
                <w:rFonts w:asciiTheme="minorHAnsi" w:eastAsia="Times New Roman" w:hAnsiTheme="minorHAnsi" w:cs="Arial"/>
                <w:b/>
                <w:bCs/>
                <w:color w:val="FFFFFF" w:themeColor="background1"/>
                <w:sz w:val="20"/>
                <w:szCs w:val="20"/>
              </w:rPr>
              <w:fldChar w:fldCharType="end"/>
            </w:r>
            <w:bookmarkEnd w:id="17"/>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0597B96" w14:textId="748CCC54"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935DB7">
              <w:rPr>
                <w:rFonts w:asciiTheme="minorHAnsi" w:eastAsia="Times New Roman" w:hAnsiTheme="minorHAnsi" w:cs="Arial"/>
                <w:b/>
                <w:bCs/>
                <w:noProof/>
                <w:color w:val="FFFFFF" w:themeColor="background1"/>
                <w:sz w:val="20"/>
                <w:szCs w:val="20"/>
              </w:rPr>
              <w:instrText>$1,142,085.00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935DB7">
              <w:rPr>
                <w:rFonts w:asciiTheme="minorHAnsi" w:eastAsia="Times New Roman" w:hAnsiTheme="minorHAnsi" w:cs="Arial"/>
                <w:b/>
                <w:bCs/>
                <w:noProof/>
                <w:color w:val="FFFFFF" w:themeColor="background1"/>
                <w:sz w:val="20"/>
                <w:szCs w:val="20"/>
              </w:rPr>
              <w:t>$1,142,085</w:t>
            </w:r>
            <w:r>
              <w:rPr>
                <w:rFonts w:asciiTheme="minorHAnsi" w:eastAsia="Times New Roman" w:hAnsiTheme="minorHAnsi" w:cs="Arial"/>
                <w:b/>
                <w:bCs/>
                <w:color w:val="FFFFFF" w:themeColor="background1"/>
                <w:sz w:val="20"/>
                <w:szCs w:val="20"/>
              </w:rPr>
              <w:fldChar w:fldCharType="end"/>
            </w:r>
          </w:p>
        </w:tc>
        <w:tc>
          <w:tcPr>
            <w:tcW w:w="2040" w:type="dxa"/>
            <w:tcBorders>
              <w:top w:val="double" w:sz="6" w:space="0" w:color="000000"/>
              <w:left w:val="single" w:sz="4" w:space="0" w:color="999999"/>
              <w:bottom w:val="single" w:sz="4" w:space="0" w:color="999999"/>
              <w:right w:val="single" w:sz="4" w:space="0" w:color="999999"/>
            </w:tcBorders>
            <w:shd w:val="clear" w:color="073763" w:fill="073763"/>
            <w:vAlign w:val="center"/>
            <w:hideMark/>
          </w:tcPr>
          <w:p w14:paraId="23E6E536" w14:textId="5B532755" w:rsidR="00776666" w:rsidRPr="000A6B81" w:rsidRDefault="00776666" w:rsidP="00776666">
            <w:pPr>
              <w:spacing w:after="0" w:line="240" w:lineRule="auto"/>
              <w:jc w:val="right"/>
              <w:rPr>
                <w:rFonts w:asciiTheme="minorHAnsi" w:eastAsia="Times New Roman" w:hAnsiTheme="minorHAnsi" w:cs="Arial"/>
                <w:b/>
                <w:bCs/>
                <w:color w:val="FFFFFF" w:themeColor="background1"/>
                <w:sz w:val="20"/>
                <w:szCs w:val="20"/>
              </w:rPr>
            </w:pPr>
            <w:r>
              <w:rPr>
                <w:rFonts w:asciiTheme="minorHAnsi" w:eastAsia="Times New Roman" w:hAnsiTheme="minorHAnsi" w:cs="Arial"/>
                <w:b/>
                <w:bCs/>
                <w:color w:val="FFFFFF" w:themeColor="background1"/>
                <w:sz w:val="20"/>
                <w:szCs w:val="20"/>
              </w:rPr>
              <w:fldChar w:fldCharType="begin">
                <w:ffData>
                  <w:name w:val=""/>
                  <w:enabled w:val="0"/>
                  <w:calcOnExit w:val="0"/>
                  <w:textInput>
                    <w:type w:val="calculated"/>
                    <w:default w:val="=SUM(ABOVE)"/>
                    <w:format w:val="$#,##0"/>
                  </w:textInput>
                </w:ffData>
              </w:fldChar>
            </w:r>
            <w:r>
              <w:rPr>
                <w:rFonts w:asciiTheme="minorHAnsi" w:eastAsia="Times New Roman" w:hAnsiTheme="minorHAnsi" w:cs="Arial"/>
                <w:b/>
                <w:bCs/>
                <w:color w:val="FFFFFF" w:themeColor="background1"/>
                <w:sz w:val="20"/>
                <w:szCs w:val="20"/>
              </w:rPr>
              <w:instrText xml:space="preserve"> FORMTEXT </w:instrText>
            </w:r>
            <w:r>
              <w:rPr>
                <w:rFonts w:asciiTheme="minorHAnsi" w:eastAsia="Times New Roman" w:hAnsiTheme="minorHAnsi" w:cs="Arial"/>
                <w:b/>
                <w:bCs/>
                <w:color w:val="FFFFFF" w:themeColor="background1"/>
                <w:sz w:val="20"/>
                <w:szCs w:val="20"/>
              </w:rPr>
              <w:fldChar w:fldCharType="begin"/>
            </w:r>
            <w:r>
              <w:rPr>
                <w:rFonts w:asciiTheme="minorHAnsi" w:eastAsia="Times New Roman" w:hAnsiTheme="minorHAnsi" w:cs="Arial"/>
                <w:b/>
                <w:bCs/>
                <w:color w:val="FFFFFF" w:themeColor="background1"/>
                <w:sz w:val="20"/>
                <w:szCs w:val="20"/>
              </w:rPr>
              <w:instrText xml:space="preserve"> =SUM(ABOVE) </w:instrText>
            </w:r>
            <w:r>
              <w:rPr>
                <w:rFonts w:asciiTheme="minorHAnsi" w:eastAsia="Times New Roman" w:hAnsiTheme="minorHAnsi" w:cs="Arial"/>
                <w:b/>
                <w:bCs/>
                <w:color w:val="FFFFFF" w:themeColor="background1"/>
                <w:sz w:val="20"/>
                <w:szCs w:val="20"/>
              </w:rPr>
              <w:fldChar w:fldCharType="separate"/>
            </w:r>
            <w:r w:rsidR="00935DB7">
              <w:rPr>
                <w:rFonts w:asciiTheme="minorHAnsi" w:eastAsia="Times New Roman" w:hAnsiTheme="minorHAnsi" w:cs="Arial"/>
                <w:b/>
                <w:bCs/>
                <w:noProof/>
                <w:color w:val="FFFFFF" w:themeColor="background1"/>
                <w:sz w:val="20"/>
                <w:szCs w:val="20"/>
              </w:rPr>
              <w:instrText>$1,142,085.00</w:instrText>
            </w:r>
            <w:r>
              <w:rPr>
                <w:rFonts w:asciiTheme="minorHAnsi" w:eastAsia="Times New Roman" w:hAnsiTheme="minorHAnsi" w:cs="Arial"/>
                <w:b/>
                <w:bCs/>
                <w:color w:val="FFFFFF" w:themeColor="background1"/>
                <w:sz w:val="20"/>
                <w:szCs w:val="20"/>
              </w:rPr>
              <w:fldChar w:fldCharType="end"/>
            </w:r>
            <w:r>
              <w:rPr>
                <w:rFonts w:asciiTheme="minorHAnsi" w:eastAsia="Times New Roman" w:hAnsiTheme="minorHAnsi" w:cs="Arial"/>
                <w:b/>
                <w:bCs/>
                <w:color w:val="FFFFFF" w:themeColor="background1"/>
                <w:sz w:val="20"/>
                <w:szCs w:val="20"/>
              </w:rPr>
            </w:r>
            <w:r>
              <w:rPr>
                <w:rFonts w:asciiTheme="minorHAnsi" w:eastAsia="Times New Roman" w:hAnsiTheme="minorHAnsi" w:cs="Arial"/>
                <w:b/>
                <w:bCs/>
                <w:color w:val="FFFFFF" w:themeColor="background1"/>
                <w:sz w:val="20"/>
                <w:szCs w:val="20"/>
              </w:rPr>
              <w:fldChar w:fldCharType="separate"/>
            </w:r>
            <w:r w:rsidR="00935DB7">
              <w:rPr>
                <w:rFonts w:asciiTheme="minorHAnsi" w:eastAsia="Times New Roman" w:hAnsiTheme="minorHAnsi" w:cs="Arial"/>
                <w:b/>
                <w:bCs/>
                <w:noProof/>
                <w:color w:val="FFFFFF" w:themeColor="background1"/>
                <w:sz w:val="20"/>
                <w:szCs w:val="20"/>
              </w:rPr>
              <w:t>$1,142,085</w:t>
            </w:r>
            <w:r>
              <w:rPr>
                <w:rFonts w:asciiTheme="minorHAnsi" w:eastAsia="Times New Roman" w:hAnsiTheme="minorHAnsi" w:cs="Arial"/>
                <w:b/>
                <w:bCs/>
                <w:color w:val="FFFFFF" w:themeColor="background1"/>
                <w:sz w:val="20"/>
                <w:szCs w:val="20"/>
              </w:rPr>
              <w:fldChar w:fldCharType="end"/>
            </w:r>
          </w:p>
        </w:tc>
      </w:tr>
    </w:tbl>
    <w:p w14:paraId="2526354D" w14:textId="77777777" w:rsidR="00915E51" w:rsidRDefault="00915E51" w:rsidP="00357EA0">
      <w:pPr>
        <w:pStyle w:val="Heading2"/>
        <w:pBdr>
          <w:bottom w:val="none" w:sz="0" w:space="0" w:color="auto"/>
        </w:pBdr>
      </w:pPr>
      <w:bookmarkStart w:id="18" w:name="_omfndvzdm7rz" w:colFirst="0" w:colLast="0"/>
      <w:bookmarkEnd w:id="18"/>
    </w:p>
    <w:p w14:paraId="7717F393" w14:textId="77777777" w:rsidR="00915E51" w:rsidRDefault="00915E51">
      <w:pPr>
        <w:spacing w:after="0" w:line="240" w:lineRule="auto"/>
        <w:rPr>
          <w:rFonts w:eastAsia="Lato Light" w:cstheme="majorHAnsi"/>
          <w:sz w:val="32"/>
          <w:szCs w:val="32"/>
          <w:u w:val="single"/>
        </w:rPr>
      </w:pPr>
      <w:r>
        <w:br w:type="page"/>
      </w:r>
    </w:p>
    <w:p w14:paraId="2A4BF323" w14:textId="31E1D782" w:rsidR="00600745" w:rsidRPr="007C5BD1" w:rsidRDefault="00600745" w:rsidP="007C5BD1">
      <w:pPr>
        <w:pStyle w:val="Heading2"/>
      </w:pPr>
      <w:bookmarkStart w:id="19" w:name="_Toc527969657"/>
      <w:r w:rsidRPr="007C5BD1">
        <w:lastRenderedPageBreak/>
        <w:t>2.3 Community Need and Customers</w:t>
      </w:r>
      <w:bookmarkStart w:id="20" w:name="_ekcc2l1gkq0c" w:colFirst="0" w:colLast="0"/>
      <w:bookmarkEnd w:id="19"/>
      <w:bookmarkEnd w:id="20"/>
    </w:p>
    <w:bookmarkStart w:id="21" w:name="_1iwn752kuqcu" w:colFirst="0" w:colLast="0"/>
    <w:bookmarkEnd w:id="21"/>
    <w:p w14:paraId="6A606B9F" w14:textId="77777777" w:rsidR="00935DB7" w:rsidRPr="00935DB7" w:rsidRDefault="00775D42" w:rsidP="00935DB7">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Overall employment growth is a general indicator of the economic health of a region. Understanding the region’s employment trends can help support efforts to effectively grow the economy. With a total of 60,203 jobs in 2018, the NCAEC region has grown at a faster rate than national employment, but at a slower rate than employment growth in the state.  Average wages in the NCAEC region are also lower than state and national averages.</w:t>
      </w:r>
    </w:p>
    <w:p w14:paraId="100DB43E"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 xml:space="preserve">While the NCAEC region has a relatively low unemployment rate that is comparable to state and national averages, the region’s low labor force participation rate suggests the region’s economy may not be operating at its maximum potential. Total population in the NCAEC region service area is over 164,621 people, a 1.2% increase since 2013, which is notably lower than the 3.5% growth rate experienced in California. </w:t>
      </w:r>
    </w:p>
    <w:p w14:paraId="78C85D33"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 xml:space="preserve">The NCAEC region is a net-exporter of talent for the largest occupational cluster along with three of the other four occupational clusters.  The largest gap between the residential workforce and regional jobs available occurs within the higher-paying occupational cluster of management, business, science, and arts occupations. This means that in the largest occupational cluster, in which over 23,000 NCAEC residents work, there are not enough jobs in the area to meet the needs of the resident workforce.  Sales and office occupations, natural resources, construction, and maintenance occupations, and production, transportation, and material moving occupations are also net exporters of jobs. </w:t>
      </w:r>
    </w:p>
    <w:p w14:paraId="39AC73F3"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 xml:space="preserve">Service occupations are net importers to the NCAEC region.  This means that there are more service occupations in the region than there are residents who work in these types of occupations. </w:t>
      </w:r>
    </w:p>
    <w:p w14:paraId="27E90606"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 xml:space="preserve">Public Services and infrastructure is the largest industry cluster in the NCAEC region, employing about 10,611 workers.  Jobs in this industry cluster increased by 6.4% between 2013 and 2018 and workers receive annual average earnings of about $74,900 per job.  The three most-common occupations in this industry cluster all earn median hourly wages above $23 per hour. Typical educational requirements for these occupations are between high school diploma or a postsecondary non-degree award. </w:t>
      </w:r>
    </w:p>
    <w:p w14:paraId="3198D85E"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The occupations within the finance, insurance, banking, and real estate industry cluster earn an average $63,650 per year.   Of the five most common occupations in this industry cluster, three increased in employment by more than 10% between 2013-2018.</w:t>
      </w:r>
    </w:p>
    <w:p w14:paraId="4FB14CDD"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Although only 4% of the NCAEC regional workforce works in building and design, the industry cluster increased by more than 27% between 2013 and 2018.  Out of the five most-common building and design occupations, four increased in employment by more than 20% between 2014 and 2018, and four have a median hourly earnings greater than $20 per hour.</w:t>
      </w:r>
    </w:p>
    <w:p w14:paraId="2234697B" w14:textId="77777777" w:rsid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The education and knowledge creation industry cluster employ nearly 8,500 people, or about 14% of the NCAEC region’s workforce.  All of the five most common occupations increased by 9% or more between 2013-2018 and three out of five have a higher median earnings than $23 per hour</w:t>
      </w:r>
      <w:r>
        <w:rPr>
          <w:rFonts w:asciiTheme="minorHAnsi" w:hAnsiTheme="minorHAnsi" w:cs="Arial"/>
          <w:noProof/>
          <w:color w:val="04326C"/>
          <w:sz w:val="20"/>
        </w:rPr>
        <w:t>.</w:t>
      </w:r>
    </w:p>
    <w:p w14:paraId="05915C8C" w14:textId="05AB9309"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The healthcare industry cluster is the second largest in terms of employment, employing more than 9,600 individuals across the NCAEC region.  Of the five most common occupations in healthcare, all have increased by 8% or more in employment and three have median hourly earnings exceeding $16 an hour.</w:t>
      </w:r>
    </w:p>
    <w:p w14:paraId="4921232C" w14:textId="3498074E" w:rsidR="00775D42" w:rsidRPr="00A324A7" w:rsidRDefault="00935DB7" w:rsidP="00935DB7">
      <w:pPr>
        <w:rPr>
          <w:rFonts w:asciiTheme="minorHAnsi" w:hAnsiTheme="minorHAnsi" w:cs="Arial"/>
          <w:color w:val="04326C"/>
          <w:sz w:val="20"/>
        </w:rPr>
      </w:pPr>
      <w:r w:rsidRPr="00935DB7">
        <w:rPr>
          <w:rFonts w:asciiTheme="minorHAnsi" w:hAnsiTheme="minorHAnsi" w:cs="Arial"/>
          <w:noProof/>
          <w:color w:val="04326C"/>
          <w:sz w:val="20"/>
        </w:rPr>
        <w:t xml:space="preserve">The agriculture and food industry cluster accounts for about 2,500 jobs across the NCAEC region.  Jobs in this industry cluster earn an average $54,496 per year.  While three of the five most common occupations saw modest </w:t>
      </w:r>
      <w:r w:rsidRPr="00935DB7">
        <w:rPr>
          <w:rFonts w:asciiTheme="minorHAnsi" w:hAnsiTheme="minorHAnsi" w:cs="Arial"/>
          <w:noProof/>
          <w:color w:val="04326C"/>
          <w:sz w:val="20"/>
        </w:rPr>
        <w:lastRenderedPageBreak/>
        <w:t>declines in employment, farmers, ranchers, and other agricultural managers and logging equipment operators saw 9% and 22% increases in employment.</w:t>
      </w:r>
      <w:r>
        <w:rPr>
          <w:rFonts w:asciiTheme="minorHAnsi" w:hAnsiTheme="minorHAnsi" w:cs="Arial"/>
          <w:noProof/>
          <w:color w:val="04326C"/>
          <w:sz w:val="20"/>
        </w:rPr>
        <w:t xml:space="preserve"> </w:t>
      </w:r>
      <w:r w:rsidR="00775D42" w:rsidRPr="00A324A7">
        <w:rPr>
          <w:rFonts w:asciiTheme="minorHAnsi" w:hAnsiTheme="minorHAnsi" w:cs="Arial"/>
          <w:color w:val="04326C"/>
          <w:sz w:val="20"/>
        </w:rPr>
        <w:fldChar w:fldCharType="end"/>
      </w:r>
    </w:p>
    <w:p w14:paraId="5CAB4779" w14:textId="77777777" w:rsidR="007C5BD1" w:rsidRDefault="007C5BD1">
      <w:pPr>
        <w:spacing w:after="0" w:line="240" w:lineRule="auto"/>
        <w:rPr>
          <w:rFonts w:eastAsia="Lato Light" w:cstheme="majorHAnsi"/>
          <w:sz w:val="32"/>
          <w:szCs w:val="32"/>
          <w:u w:val="single"/>
        </w:rPr>
      </w:pPr>
      <w:r>
        <w:br w:type="page"/>
      </w:r>
    </w:p>
    <w:p w14:paraId="5748AAAB" w14:textId="3774090C" w:rsidR="006117E8" w:rsidRDefault="00600745" w:rsidP="007C5BD1">
      <w:pPr>
        <w:pStyle w:val="Heading2"/>
      </w:pPr>
      <w:bookmarkStart w:id="22" w:name="_Toc527969658"/>
      <w:r w:rsidRPr="007C5BD1">
        <w:lastRenderedPageBreak/>
        <w:t>2.4 Identifying Goals and Strategies</w:t>
      </w:r>
      <w:bookmarkEnd w:id="22"/>
    </w:p>
    <w:p w14:paraId="10D1F174" w14:textId="77777777" w:rsidR="00935DB7" w:rsidRPr="00935DB7" w:rsidRDefault="00775D42" w:rsidP="00935DB7">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 xml:space="preserve">The NCAEC is committed to growing its curriculum alignment and pathways between members and partners. This includes delineating clear pathways for an adult learner to maximize and accelerate their learning. A shared value among partners is to increase student knowledge, leading toward career and post-secondary success. The identified NCAEC goals for the 2019-2022 are: </w:t>
      </w:r>
    </w:p>
    <w:p w14:paraId="61289F51"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1.</w:t>
      </w:r>
      <w:r w:rsidRPr="00935DB7">
        <w:rPr>
          <w:rFonts w:asciiTheme="minorHAnsi" w:hAnsiTheme="minorHAnsi" w:cs="Arial"/>
          <w:noProof/>
          <w:color w:val="04326C"/>
          <w:sz w:val="20"/>
        </w:rPr>
        <w:tab/>
        <w:t xml:space="preserve">Increased curriculum alignment of courses between consortia members and partners, to support student goal employment, career, and post-secondary training. </w:t>
      </w:r>
    </w:p>
    <w:p w14:paraId="6E74DEC2"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2.</w:t>
      </w:r>
      <w:r w:rsidRPr="00935DB7">
        <w:rPr>
          <w:rFonts w:asciiTheme="minorHAnsi" w:hAnsiTheme="minorHAnsi" w:cs="Arial"/>
          <w:noProof/>
          <w:color w:val="04326C"/>
          <w:sz w:val="20"/>
        </w:rPr>
        <w:tab/>
        <w:t xml:space="preserve">Reach students in rural and remote communities. </w:t>
      </w:r>
    </w:p>
    <w:p w14:paraId="1492ADBE"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3.</w:t>
      </w:r>
      <w:r w:rsidRPr="00935DB7">
        <w:rPr>
          <w:rFonts w:asciiTheme="minorHAnsi" w:hAnsiTheme="minorHAnsi" w:cs="Arial"/>
          <w:noProof/>
          <w:color w:val="04326C"/>
          <w:sz w:val="20"/>
        </w:rPr>
        <w:tab/>
        <w:t xml:space="preserve">Increase student participation and persistence.  </w:t>
      </w:r>
    </w:p>
    <w:p w14:paraId="174F23BB" w14:textId="5A200FD7" w:rsidR="00775D42" w:rsidRPr="00A324A7" w:rsidRDefault="00935DB7" w:rsidP="00935DB7">
      <w:pPr>
        <w:rPr>
          <w:rFonts w:asciiTheme="minorHAnsi" w:hAnsiTheme="minorHAnsi" w:cs="Arial"/>
          <w:color w:val="04326C"/>
          <w:sz w:val="20"/>
        </w:rPr>
      </w:pPr>
      <w:r w:rsidRPr="00935DB7">
        <w:rPr>
          <w:rFonts w:asciiTheme="minorHAnsi" w:hAnsiTheme="minorHAnsi" w:cs="Arial"/>
          <w:noProof/>
          <w:color w:val="04326C"/>
          <w:sz w:val="20"/>
        </w:rPr>
        <w:t>4.</w:t>
      </w:r>
      <w:r w:rsidRPr="00935DB7">
        <w:rPr>
          <w:rFonts w:asciiTheme="minorHAnsi" w:hAnsiTheme="minorHAnsi" w:cs="Arial"/>
          <w:noProof/>
          <w:color w:val="04326C"/>
          <w:sz w:val="20"/>
        </w:rPr>
        <w:tab/>
        <w:t xml:space="preserve">Increase in collection of student data; and, utilize the data in driving decision making. </w:t>
      </w:r>
      <w:r w:rsidR="00775D42" w:rsidRPr="00A324A7">
        <w:rPr>
          <w:rFonts w:asciiTheme="minorHAnsi" w:hAnsiTheme="minorHAnsi" w:cs="Arial"/>
          <w:color w:val="04326C"/>
          <w:sz w:val="20"/>
        </w:rPr>
        <w:fldChar w:fldCharType="end"/>
      </w:r>
    </w:p>
    <w:p w14:paraId="3DEA62E4" w14:textId="77777777" w:rsidR="00DF5980" w:rsidRDefault="00DF5980" w:rsidP="00C94148">
      <w:pPr>
        <w:pStyle w:val="Heading3"/>
        <w:sectPr w:rsidR="00DF5980" w:rsidSect="00C444D1">
          <w:pgSz w:w="12240" w:h="15840"/>
          <w:pgMar w:top="1440" w:right="1440" w:bottom="1440" w:left="1440" w:header="720" w:footer="720" w:gutter="0"/>
          <w:cols w:space="720"/>
          <w:docGrid w:linePitch="299"/>
        </w:sectPr>
      </w:pPr>
    </w:p>
    <w:p w14:paraId="2ABCB966" w14:textId="50CF8EEE" w:rsidR="00600745" w:rsidRDefault="00DF5980" w:rsidP="00C94148">
      <w:pPr>
        <w:pStyle w:val="Heading3"/>
      </w:pPr>
      <w:r>
        <w:lastRenderedPageBreak/>
        <w:br/>
      </w:r>
      <w:bookmarkStart w:id="23" w:name="_Toc527969659"/>
      <w:r w:rsidR="001E3A1C" w:rsidRPr="004978C3">
        <w:t xml:space="preserve">Figure 1. </w:t>
      </w:r>
      <w:r w:rsidR="00600745" w:rsidRPr="004978C3">
        <w:t>Logic Model</w:t>
      </w:r>
      <w:bookmarkEnd w:id="23"/>
    </w:p>
    <w:p w14:paraId="2577E553" w14:textId="16F41A7C" w:rsidR="004978C3" w:rsidRPr="00775D42" w:rsidRDefault="004978C3" w:rsidP="00775D42">
      <w:pPr>
        <w:spacing w:after="0"/>
        <w:rPr>
          <w:rFonts w:asciiTheme="minorHAnsi" w:hAnsiTheme="minorHAnsi" w:cs="Arial"/>
          <w:color w:val="0432FF"/>
          <w:sz w:val="20"/>
        </w:rPr>
      </w:pPr>
      <w:r>
        <w:t xml:space="preserve">Goal Statement: </w:t>
      </w:r>
      <w:r w:rsidR="00775D42" w:rsidRPr="00A324A7">
        <w:rPr>
          <w:rFonts w:asciiTheme="minorHAnsi" w:hAnsiTheme="minorHAnsi" w:cs="Arial"/>
          <w:color w:val="04326C"/>
          <w:sz w:val="20"/>
        </w:rPr>
        <w:fldChar w:fldCharType="begin">
          <w:ffData>
            <w:name w:val="txt2_1"/>
            <w:enabled/>
            <w:calcOnExit w:val="0"/>
            <w:textInput/>
          </w:ffData>
        </w:fldChar>
      </w:r>
      <w:r w:rsidR="00775D42" w:rsidRPr="00A324A7">
        <w:rPr>
          <w:rFonts w:asciiTheme="minorHAnsi" w:hAnsiTheme="minorHAnsi" w:cs="Arial"/>
          <w:color w:val="04326C"/>
          <w:sz w:val="20"/>
        </w:rPr>
        <w:instrText xml:space="preserve"> FORMTEXT </w:instrText>
      </w:r>
      <w:r w:rsidR="00775D42" w:rsidRPr="00A324A7">
        <w:rPr>
          <w:rFonts w:asciiTheme="minorHAnsi" w:hAnsiTheme="minorHAnsi" w:cs="Arial"/>
          <w:color w:val="04326C"/>
          <w:sz w:val="20"/>
        </w:rPr>
      </w:r>
      <w:r w:rsidR="00775D42"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 xml:space="preserve">NCAEC goal is to utilize curriculum alignment to increase learning opportunities which will place adult learners on a trajectory toward employment, career, and post-secondary training.     </w:t>
      </w:r>
      <w:r w:rsidR="00775D42" w:rsidRPr="00A324A7">
        <w:rPr>
          <w:rFonts w:asciiTheme="minorHAnsi" w:hAnsiTheme="minorHAnsi" w:cs="Arial"/>
          <w:color w:val="04326C"/>
          <w:sz w:val="20"/>
        </w:rPr>
        <w:fldChar w:fldCharType="end"/>
      </w:r>
    </w:p>
    <w:p w14:paraId="7775E89F" w14:textId="6B0B242E" w:rsidR="00DF5980" w:rsidRPr="007C5BD1" w:rsidRDefault="004978C3" w:rsidP="004978C3">
      <w:pPr>
        <w:rPr>
          <w:rFonts w:ascii="Avenir Roman" w:hAnsi="Avenir Roman" w:cs="Arial"/>
        </w:rPr>
      </w:pPr>
      <w:r w:rsidRPr="007C5BD1">
        <w:rPr>
          <w:rFonts w:ascii="Avenir Roman" w:eastAsia="Times New Roman" w:hAnsi="Avenir Roman" w:cs="Arial"/>
          <w:i/>
          <w:iCs/>
          <w:color w:val="757171"/>
          <w:sz w:val="16"/>
        </w:rPr>
        <w:t>Our overall direction and focus for the program cycle relative to the target populations and problems we seek to address</w:t>
      </w: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2351"/>
        <w:gridCol w:w="2421"/>
        <w:gridCol w:w="2421"/>
        <w:gridCol w:w="2349"/>
        <w:gridCol w:w="2421"/>
        <w:gridCol w:w="2421"/>
      </w:tblGrid>
      <w:tr w:rsidR="00DF5980" w:rsidRPr="004978C3" w14:paraId="37A3D544" w14:textId="77777777" w:rsidTr="004978C3">
        <w:trPr>
          <w:tblHeader/>
        </w:trPr>
        <w:tc>
          <w:tcPr>
            <w:tcW w:w="2352" w:type="dxa"/>
            <w:shd w:val="clear" w:color="000000" w:fill="002060"/>
            <w:vAlign w:val="center"/>
            <w:hideMark/>
          </w:tcPr>
          <w:p w14:paraId="537D722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Inputs</w:t>
            </w:r>
          </w:p>
        </w:tc>
        <w:tc>
          <w:tcPr>
            <w:tcW w:w="2422" w:type="dxa"/>
            <w:shd w:val="clear" w:color="000000" w:fill="621E7C"/>
            <w:vAlign w:val="center"/>
            <w:hideMark/>
          </w:tcPr>
          <w:p w14:paraId="1CEA6431"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Activities</w:t>
            </w:r>
          </w:p>
        </w:tc>
        <w:tc>
          <w:tcPr>
            <w:tcW w:w="2422" w:type="dxa"/>
            <w:shd w:val="clear" w:color="000000" w:fill="903F6C"/>
            <w:vAlign w:val="center"/>
            <w:hideMark/>
          </w:tcPr>
          <w:p w14:paraId="4A05B420"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Outputs</w:t>
            </w:r>
          </w:p>
        </w:tc>
        <w:tc>
          <w:tcPr>
            <w:tcW w:w="2350" w:type="dxa"/>
            <w:shd w:val="clear" w:color="000000" w:fill="B76059"/>
            <w:vAlign w:val="center"/>
            <w:hideMark/>
          </w:tcPr>
          <w:p w14:paraId="2E4198F7"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Immediate (Short-Term) Outcomes</w:t>
            </w:r>
          </w:p>
        </w:tc>
        <w:tc>
          <w:tcPr>
            <w:tcW w:w="2422" w:type="dxa"/>
            <w:shd w:val="clear" w:color="000000" w:fill="DB8240"/>
            <w:vAlign w:val="center"/>
            <w:hideMark/>
          </w:tcPr>
          <w:p w14:paraId="08D7BE73"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Intermediate Outcomes</w:t>
            </w:r>
          </w:p>
        </w:tc>
        <w:tc>
          <w:tcPr>
            <w:tcW w:w="2422" w:type="dxa"/>
            <w:shd w:val="clear" w:color="000000" w:fill="FFA500"/>
            <w:vAlign w:val="center"/>
            <w:hideMark/>
          </w:tcPr>
          <w:p w14:paraId="608DB69F" w14:textId="77777777" w:rsidR="00DF5980" w:rsidRPr="004978C3" w:rsidRDefault="00DF5980" w:rsidP="004978C3">
            <w:pPr>
              <w:spacing w:after="0" w:line="240" w:lineRule="auto"/>
              <w:jc w:val="center"/>
              <w:rPr>
                <w:rFonts w:ascii="Avenir Roman" w:eastAsia="Times New Roman" w:hAnsi="Avenir Roman" w:cs="Arial"/>
                <w:b/>
                <w:bCs/>
                <w:color w:val="FFFFFF"/>
                <w:sz w:val="18"/>
                <w:szCs w:val="20"/>
              </w:rPr>
            </w:pPr>
            <w:r w:rsidRPr="004978C3">
              <w:rPr>
                <w:rFonts w:ascii="Avenir Roman" w:eastAsia="Times New Roman" w:hAnsi="Avenir Roman" w:cs="Arial"/>
                <w:b/>
                <w:bCs/>
                <w:color w:val="FFFFFF"/>
                <w:sz w:val="18"/>
                <w:szCs w:val="20"/>
              </w:rPr>
              <w:t>Long-Term Outcomes / Impact</w:t>
            </w:r>
          </w:p>
        </w:tc>
      </w:tr>
      <w:tr w:rsidR="00DF5980" w:rsidRPr="004978C3" w14:paraId="24FC78C6" w14:textId="77777777" w:rsidTr="004978C3">
        <w:trPr>
          <w:trHeight w:val="197"/>
        </w:trPr>
        <w:tc>
          <w:tcPr>
            <w:tcW w:w="2352" w:type="dxa"/>
            <w:shd w:val="clear" w:color="auto" w:fill="auto"/>
            <w:hideMark/>
          </w:tcPr>
          <w:p w14:paraId="233973F0"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accomplish our set of activities we will need the following:</w:t>
            </w:r>
          </w:p>
        </w:tc>
        <w:tc>
          <w:tcPr>
            <w:tcW w:w="2422" w:type="dxa"/>
            <w:shd w:val="clear" w:color="auto" w:fill="auto"/>
            <w:hideMark/>
          </w:tcPr>
          <w:p w14:paraId="14D2EFC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In order to address our problem or asset we will accomplish the following activities:</w:t>
            </w:r>
          </w:p>
        </w:tc>
        <w:tc>
          <w:tcPr>
            <w:tcW w:w="2422" w:type="dxa"/>
            <w:shd w:val="clear" w:color="auto" w:fill="auto"/>
            <w:hideMark/>
          </w:tcPr>
          <w:p w14:paraId="21BB2161"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once accomplished, these activities will produce the following evidence or service delivery:</w:t>
            </w:r>
          </w:p>
        </w:tc>
        <w:tc>
          <w:tcPr>
            <w:tcW w:w="2350" w:type="dxa"/>
            <w:shd w:val="clear" w:color="auto" w:fill="auto"/>
            <w:hideMark/>
          </w:tcPr>
          <w:p w14:paraId="4366DA52"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the next year</w:t>
            </w:r>
          </w:p>
        </w:tc>
        <w:tc>
          <w:tcPr>
            <w:tcW w:w="2422" w:type="dxa"/>
            <w:shd w:val="clear" w:color="auto" w:fill="auto"/>
            <w:hideMark/>
          </w:tcPr>
          <w:p w14:paraId="31427B1B"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1-3 years</w:t>
            </w:r>
          </w:p>
        </w:tc>
        <w:tc>
          <w:tcPr>
            <w:tcW w:w="2422" w:type="dxa"/>
            <w:shd w:val="clear" w:color="auto" w:fill="auto"/>
            <w:hideMark/>
          </w:tcPr>
          <w:p w14:paraId="7953F575" w14:textId="77777777" w:rsidR="00DF5980" w:rsidRPr="004978C3" w:rsidRDefault="00DF5980" w:rsidP="00DF5980">
            <w:pPr>
              <w:spacing w:after="0" w:line="240" w:lineRule="auto"/>
              <w:jc w:val="center"/>
              <w:rPr>
                <w:rFonts w:ascii="Avenir Roman" w:eastAsia="Times New Roman" w:hAnsi="Avenir Roman" w:cs="Arial"/>
                <w:i/>
                <w:iCs/>
                <w:color w:val="757171"/>
                <w:sz w:val="12"/>
                <w:szCs w:val="12"/>
              </w:rPr>
            </w:pPr>
            <w:r w:rsidRPr="004978C3">
              <w:rPr>
                <w:rFonts w:ascii="Avenir Roman" w:eastAsia="Times New Roman" w:hAnsi="Avenir Roman" w:cs="Arial"/>
                <w:i/>
                <w:iCs/>
                <w:color w:val="757171"/>
                <w:sz w:val="12"/>
                <w:szCs w:val="12"/>
              </w:rPr>
              <w:t>We expect that if accomplished these activities will lead to the following changes in 3-5 years</w:t>
            </w:r>
          </w:p>
        </w:tc>
      </w:tr>
      <w:tr w:rsidR="004978C3" w:rsidRPr="00D95331" w14:paraId="47B1251E" w14:textId="77777777" w:rsidTr="00775D42">
        <w:trPr>
          <w:trHeight w:val="4256"/>
        </w:trPr>
        <w:tc>
          <w:tcPr>
            <w:tcW w:w="2352" w:type="dxa"/>
            <w:shd w:val="clear" w:color="auto" w:fill="auto"/>
          </w:tcPr>
          <w:p w14:paraId="29412633" w14:textId="5A6F4332" w:rsid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Devise and increase learning opportunities.</w:t>
            </w:r>
          </w:p>
          <w:p w14:paraId="7971B538" w14:textId="77777777" w:rsidR="00935DB7" w:rsidRPr="00935DB7" w:rsidRDefault="00935DB7" w:rsidP="00935DB7">
            <w:pPr>
              <w:spacing w:after="0" w:line="240" w:lineRule="auto"/>
              <w:rPr>
                <w:rFonts w:asciiTheme="minorHAnsi" w:hAnsiTheme="minorHAnsi" w:cs="Arial"/>
                <w:noProof/>
                <w:color w:val="04326C"/>
                <w:sz w:val="20"/>
              </w:rPr>
            </w:pPr>
          </w:p>
          <w:p w14:paraId="436330CB" w14:textId="1F74B54B" w:rsid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Develop a clear pathway between members and partners for employment, career, and post-secondary training.</w:t>
            </w:r>
          </w:p>
          <w:p w14:paraId="5B5BAF53" w14:textId="77777777" w:rsidR="00935DB7" w:rsidRPr="00935DB7" w:rsidRDefault="00935DB7" w:rsidP="00935DB7">
            <w:pPr>
              <w:spacing w:after="0" w:line="240" w:lineRule="auto"/>
              <w:rPr>
                <w:rFonts w:asciiTheme="minorHAnsi" w:hAnsiTheme="minorHAnsi" w:cs="Arial"/>
                <w:noProof/>
                <w:color w:val="04326C"/>
                <w:sz w:val="20"/>
              </w:rPr>
            </w:pPr>
          </w:p>
          <w:p w14:paraId="465EE3BA" w14:textId="4F53B369" w:rsidR="004978C3" w:rsidRPr="00D95331" w:rsidRDefault="00935DB7" w:rsidP="00935DB7">
            <w:pPr>
              <w:spacing w:after="0" w:line="240" w:lineRule="auto"/>
              <w:rPr>
                <w:rFonts w:ascii="Arial" w:eastAsia="Times New Roman" w:hAnsi="Arial" w:cs="Arial"/>
                <w:i/>
                <w:iCs/>
                <w:color w:val="757171"/>
                <w:sz w:val="12"/>
                <w:szCs w:val="12"/>
              </w:rPr>
            </w:pPr>
            <w:r w:rsidRPr="00935DB7">
              <w:rPr>
                <w:rFonts w:asciiTheme="minorHAnsi" w:hAnsiTheme="minorHAnsi" w:cs="Arial"/>
                <w:noProof/>
                <w:color w:val="04326C"/>
                <w:sz w:val="20"/>
              </w:rPr>
              <w:t>3. Utilize a system for co-enrollments, collaboration, and referral process.</w:t>
            </w:r>
            <w:r w:rsidR="005664C5" w:rsidRPr="00A324A7">
              <w:rPr>
                <w:rFonts w:asciiTheme="minorHAnsi" w:hAnsiTheme="minorHAnsi" w:cs="Arial"/>
                <w:color w:val="04326C"/>
                <w:sz w:val="20"/>
              </w:rPr>
              <w:fldChar w:fldCharType="end"/>
            </w:r>
          </w:p>
        </w:tc>
        <w:tc>
          <w:tcPr>
            <w:tcW w:w="2422" w:type="dxa"/>
            <w:shd w:val="clear" w:color="auto" w:fill="auto"/>
          </w:tcPr>
          <w:p w14:paraId="573E3EA2" w14:textId="3AEE85EC" w:rsid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Develop an updated, visual map of how members and partners work together.</w:t>
            </w:r>
          </w:p>
          <w:p w14:paraId="6B9481AD" w14:textId="77777777" w:rsidR="00935DB7" w:rsidRPr="00935DB7" w:rsidRDefault="00935DB7" w:rsidP="00935DB7">
            <w:pPr>
              <w:spacing w:after="0" w:line="240" w:lineRule="auto"/>
              <w:rPr>
                <w:rFonts w:asciiTheme="minorHAnsi" w:hAnsiTheme="minorHAnsi" w:cs="Arial"/>
                <w:noProof/>
                <w:color w:val="04326C"/>
                <w:sz w:val="20"/>
              </w:rPr>
            </w:pPr>
          </w:p>
          <w:p w14:paraId="373D6B07" w14:textId="77777777" w:rsid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Create additional post-secondary offerings.</w:t>
            </w:r>
          </w:p>
          <w:p w14:paraId="09F5C3C4" w14:textId="647352D4" w:rsidR="00935DB7" w:rsidRP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 xml:space="preserve"> </w:t>
            </w:r>
          </w:p>
          <w:p w14:paraId="4153307C" w14:textId="3463F3CC" w:rsidR="004978C3" w:rsidRPr="00D95331" w:rsidRDefault="00935DB7" w:rsidP="00935DB7">
            <w:pPr>
              <w:spacing w:after="0" w:line="240" w:lineRule="auto"/>
              <w:rPr>
                <w:rFonts w:ascii="Arial" w:eastAsia="Times New Roman" w:hAnsi="Arial" w:cs="Arial"/>
                <w:i/>
                <w:iCs/>
                <w:color w:val="757171"/>
                <w:sz w:val="12"/>
                <w:szCs w:val="12"/>
              </w:rPr>
            </w:pPr>
            <w:r w:rsidRPr="00935DB7">
              <w:rPr>
                <w:rFonts w:asciiTheme="minorHAnsi" w:hAnsiTheme="minorHAnsi" w:cs="Arial"/>
                <w:noProof/>
                <w:color w:val="04326C"/>
                <w:sz w:val="20"/>
              </w:rPr>
              <w:t xml:space="preserve">3. Link current classes (HSE, etc.) to employment and post-secondary outcomes. </w:t>
            </w:r>
            <w:r w:rsidR="005664C5" w:rsidRPr="00A324A7">
              <w:rPr>
                <w:rFonts w:asciiTheme="minorHAnsi" w:hAnsiTheme="minorHAnsi" w:cs="Arial"/>
                <w:color w:val="04326C"/>
                <w:sz w:val="20"/>
              </w:rPr>
              <w:fldChar w:fldCharType="end"/>
            </w:r>
          </w:p>
        </w:tc>
        <w:tc>
          <w:tcPr>
            <w:tcW w:w="2422" w:type="dxa"/>
            <w:shd w:val="clear" w:color="auto" w:fill="auto"/>
          </w:tcPr>
          <w:p w14:paraId="45D1E7F3" w14:textId="1D8B05EF" w:rsid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Clear map of current course offerings and how they connect between members and partners.</w:t>
            </w:r>
          </w:p>
          <w:p w14:paraId="796F6987" w14:textId="77777777" w:rsidR="00935DB7" w:rsidRPr="00935DB7" w:rsidRDefault="00935DB7" w:rsidP="00935DB7">
            <w:pPr>
              <w:spacing w:after="0" w:line="240" w:lineRule="auto"/>
              <w:rPr>
                <w:rFonts w:asciiTheme="minorHAnsi" w:hAnsiTheme="minorHAnsi" w:cs="Arial"/>
                <w:noProof/>
                <w:color w:val="04326C"/>
                <w:sz w:val="20"/>
              </w:rPr>
            </w:pPr>
          </w:p>
          <w:p w14:paraId="20BC2BD2" w14:textId="018B0183" w:rsid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Offer additional post-secondary offerings.</w:t>
            </w:r>
          </w:p>
          <w:p w14:paraId="4CC5AB2C" w14:textId="77777777" w:rsidR="00935DB7" w:rsidRPr="00935DB7" w:rsidRDefault="00935DB7" w:rsidP="00935DB7">
            <w:pPr>
              <w:spacing w:after="0" w:line="240" w:lineRule="auto"/>
              <w:rPr>
                <w:rFonts w:asciiTheme="minorHAnsi" w:hAnsiTheme="minorHAnsi" w:cs="Arial"/>
                <w:noProof/>
                <w:color w:val="04326C"/>
                <w:sz w:val="20"/>
              </w:rPr>
            </w:pPr>
          </w:p>
          <w:p w14:paraId="2F77DDB0" w14:textId="6DE9E942" w:rsidR="004978C3" w:rsidRPr="00D95331" w:rsidRDefault="00935DB7" w:rsidP="00935DB7">
            <w:pPr>
              <w:spacing w:after="0" w:line="240" w:lineRule="auto"/>
              <w:rPr>
                <w:rFonts w:ascii="Arial" w:eastAsia="Times New Roman" w:hAnsi="Arial" w:cs="Arial"/>
                <w:i/>
                <w:iCs/>
                <w:color w:val="757171"/>
                <w:sz w:val="12"/>
                <w:szCs w:val="12"/>
              </w:rPr>
            </w:pPr>
            <w:r w:rsidRPr="00935DB7">
              <w:rPr>
                <w:rFonts w:asciiTheme="minorHAnsi" w:hAnsiTheme="minorHAnsi" w:cs="Arial"/>
                <w:noProof/>
                <w:color w:val="04326C"/>
                <w:sz w:val="20"/>
              </w:rPr>
              <w:t>3. Students can articulate how a HSE or soft skills will support obtaining and retaining employment.</w:t>
            </w:r>
            <w:r w:rsidR="005664C5" w:rsidRPr="00A324A7">
              <w:rPr>
                <w:rFonts w:asciiTheme="minorHAnsi" w:hAnsiTheme="minorHAnsi" w:cs="Arial"/>
                <w:color w:val="04326C"/>
                <w:sz w:val="20"/>
              </w:rPr>
              <w:fldChar w:fldCharType="end"/>
            </w:r>
          </w:p>
        </w:tc>
        <w:tc>
          <w:tcPr>
            <w:tcW w:w="2350" w:type="dxa"/>
            <w:shd w:val="clear" w:color="auto" w:fill="auto"/>
          </w:tcPr>
          <w:p w14:paraId="4A6C0325" w14:textId="68244A3C" w:rsid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Curriculum alignment between consortia members and partners.</w:t>
            </w:r>
          </w:p>
          <w:p w14:paraId="5340BFA1" w14:textId="77777777" w:rsidR="00935DB7" w:rsidRPr="00935DB7" w:rsidRDefault="00935DB7" w:rsidP="00935DB7">
            <w:pPr>
              <w:spacing w:after="0" w:line="240" w:lineRule="auto"/>
              <w:rPr>
                <w:rFonts w:asciiTheme="minorHAnsi" w:hAnsiTheme="minorHAnsi" w:cs="Arial"/>
                <w:noProof/>
                <w:color w:val="04326C"/>
                <w:sz w:val="20"/>
              </w:rPr>
            </w:pPr>
          </w:p>
          <w:p w14:paraId="2CC182F3" w14:textId="479E9817" w:rsid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Increase in adult learner outcomes, as the appropriate skills/support is provided.</w:t>
            </w:r>
          </w:p>
          <w:p w14:paraId="2A3D7DD4" w14:textId="77777777" w:rsidR="00935DB7" w:rsidRPr="00935DB7" w:rsidRDefault="00935DB7" w:rsidP="00935DB7">
            <w:pPr>
              <w:spacing w:after="0" w:line="240" w:lineRule="auto"/>
              <w:rPr>
                <w:rFonts w:asciiTheme="minorHAnsi" w:hAnsiTheme="minorHAnsi" w:cs="Arial"/>
                <w:noProof/>
                <w:color w:val="04326C"/>
                <w:sz w:val="20"/>
              </w:rPr>
            </w:pPr>
          </w:p>
          <w:p w14:paraId="16C97C52" w14:textId="523E65BA" w:rsid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3. New opportunities to gain skills leading to employment or improved employment.</w:t>
            </w:r>
          </w:p>
          <w:p w14:paraId="3ED17400" w14:textId="77777777" w:rsidR="00935DB7" w:rsidRPr="00935DB7" w:rsidRDefault="00935DB7" w:rsidP="00935DB7">
            <w:pPr>
              <w:spacing w:after="0" w:line="240" w:lineRule="auto"/>
              <w:rPr>
                <w:rFonts w:asciiTheme="minorHAnsi" w:hAnsiTheme="minorHAnsi" w:cs="Arial"/>
                <w:noProof/>
                <w:color w:val="04326C"/>
                <w:sz w:val="20"/>
              </w:rPr>
            </w:pPr>
          </w:p>
          <w:p w14:paraId="24807E35" w14:textId="4AB319AC" w:rsidR="004978C3" w:rsidRPr="00D95331" w:rsidRDefault="00935DB7" w:rsidP="00935DB7">
            <w:pPr>
              <w:spacing w:after="0" w:line="240" w:lineRule="auto"/>
              <w:rPr>
                <w:rFonts w:ascii="Arial" w:eastAsia="Times New Roman" w:hAnsi="Arial" w:cs="Arial"/>
                <w:i/>
                <w:iCs/>
                <w:color w:val="757171"/>
                <w:sz w:val="12"/>
                <w:szCs w:val="12"/>
              </w:rPr>
            </w:pPr>
            <w:r w:rsidRPr="00935DB7">
              <w:rPr>
                <w:rFonts w:asciiTheme="minorHAnsi" w:hAnsiTheme="minorHAnsi" w:cs="Arial"/>
                <w:noProof/>
                <w:color w:val="04326C"/>
                <w:sz w:val="20"/>
              </w:rPr>
              <w:t>4. Increased student self-awareness of goals and how to attain them.</w:t>
            </w:r>
            <w:r w:rsidR="005664C5" w:rsidRPr="00A324A7">
              <w:rPr>
                <w:rFonts w:asciiTheme="minorHAnsi" w:hAnsiTheme="minorHAnsi" w:cs="Arial"/>
                <w:color w:val="04326C"/>
                <w:sz w:val="20"/>
              </w:rPr>
              <w:fldChar w:fldCharType="end"/>
            </w:r>
          </w:p>
        </w:tc>
        <w:tc>
          <w:tcPr>
            <w:tcW w:w="2422" w:type="dxa"/>
            <w:shd w:val="clear" w:color="auto" w:fill="auto"/>
          </w:tcPr>
          <w:p w14:paraId="06DD00A2" w14:textId="438B7078" w:rsid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Increase in adult learner cross referrals.</w:t>
            </w:r>
          </w:p>
          <w:p w14:paraId="57667373" w14:textId="77777777" w:rsidR="00935DB7" w:rsidRPr="00935DB7" w:rsidRDefault="00935DB7" w:rsidP="00935DB7">
            <w:pPr>
              <w:spacing w:after="0" w:line="240" w:lineRule="auto"/>
              <w:rPr>
                <w:rFonts w:asciiTheme="minorHAnsi" w:hAnsiTheme="minorHAnsi" w:cs="Arial"/>
                <w:noProof/>
                <w:color w:val="04326C"/>
                <w:sz w:val="20"/>
              </w:rPr>
            </w:pPr>
          </w:p>
          <w:p w14:paraId="676E0C9C" w14:textId="73304AB9" w:rsid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Increase in regional adult learner need being seamlessly met.</w:t>
            </w:r>
          </w:p>
          <w:p w14:paraId="1EAF99B0" w14:textId="77777777" w:rsidR="00935DB7" w:rsidRPr="00935DB7" w:rsidRDefault="00935DB7" w:rsidP="00935DB7">
            <w:pPr>
              <w:spacing w:after="0" w:line="240" w:lineRule="auto"/>
              <w:rPr>
                <w:rFonts w:asciiTheme="minorHAnsi" w:hAnsiTheme="minorHAnsi" w:cs="Arial"/>
                <w:noProof/>
                <w:color w:val="04326C"/>
                <w:sz w:val="20"/>
              </w:rPr>
            </w:pPr>
          </w:p>
          <w:p w14:paraId="707685DA" w14:textId="03E69AA3" w:rsidR="004978C3" w:rsidRPr="00D95331" w:rsidRDefault="00935DB7" w:rsidP="00935DB7">
            <w:pPr>
              <w:spacing w:after="0" w:line="240" w:lineRule="auto"/>
              <w:rPr>
                <w:rFonts w:ascii="Arial" w:eastAsia="Times New Roman" w:hAnsi="Arial" w:cs="Arial"/>
                <w:i/>
                <w:iCs/>
                <w:color w:val="757171"/>
                <w:sz w:val="12"/>
                <w:szCs w:val="12"/>
              </w:rPr>
            </w:pPr>
            <w:r w:rsidRPr="00935DB7">
              <w:rPr>
                <w:rFonts w:asciiTheme="minorHAnsi" w:hAnsiTheme="minorHAnsi" w:cs="Arial"/>
                <w:noProof/>
                <w:color w:val="04326C"/>
                <w:sz w:val="20"/>
              </w:rPr>
              <w:t xml:space="preserve">3. Increase in adult learners obtaining gainful employment or post-secondary programs. </w:t>
            </w:r>
            <w:r w:rsidR="005664C5" w:rsidRPr="00A324A7">
              <w:rPr>
                <w:rFonts w:asciiTheme="minorHAnsi" w:hAnsiTheme="minorHAnsi" w:cs="Arial"/>
                <w:color w:val="04326C"/>
                <w:sz w:val="20"/>
              </w:rPr>
              <w:fldChar w:fldCharType="end"/>
            </w:r>
          </w:p>
        </w:tc>
        <w:tc>
          <w:tcPr>
            <w:tcW w:w="2422" w:type="dxa"/>
            <w:shd w:val="clear" w:color="auto" w:fill="auto"/>
          </w:tcPr>
          <w:p w14:paraId="76FC97EF" w14:textId="2F7EDA6D" w:rsid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Comprehensive collaboration between members and partners.</w:t>
            </w:r>
          </w:p>
          <w:p w14:paraId="308E51A1" w14:textId="77777777" w:rsidR="00935DB7" w:rsidRPr="00935DB7" w:rsidRDefault="00935DB7" w:rsidP="00935DB7">
            <w:pPr>
              <w:spacing w:after="0" w:line="240" w:lineRule="auto"/>
              <w:rPr>
                <w:rFonts w:asciiTheme="minorHAnsi" w:hAnsiTheme="minorHAnsi" w:cs="Arial"/>
                <w:noProof/>
                <w:color w:val="04326C"/>
                <w:sz w:val="20"/>
              </w:rPr>
            </w:pPr>
          </w:p>
          <w:p w14:paraId="535DA462" w14:textId="77777777" w:rsidR="00935DB7" w:rsidRP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Adult learners gaining skills needed for employment or improved employment.</w:t>
            </w:r>
          </w:p>
          <w:p w14:paraId="0DF9EACB" w14:textId="4A78277B" w:rsidR="004978C3" w:rsidRPr="00D95331" w:rsidRDefault="00935DB7" w:rsidP="00935DB7">
            <w:pPr>
              <w:spacing w:after="0" w:line="240" w:lineRule="auto"/>
              <w:rPr>
                <w:rFonts w:ascii="Arial" w:eastAsia="Times New Roman" w:hAnsi="Arial" w:cs="Arial"/>
                <w:i/>
                <w:iCs/>
                <w:color w:val="757171"/>
                <w:sz w:val="12"/>
                <w:szCs w:val="12"/>
              </w:rPr>
            </w:pPr>
            <w:r w:rsidRPr="00935DB7">
              <w:rPr>
                <w:rFonts w:asciiTheme="minorHAnsi" w:hAnsiTheme="minorHAnsi" w:cs="Arial"/>
                <w:noProof/>
                <w:color w:val="04326C"/>
                <w:sz w:val="20"/>
              </w:rPr>
              <w:t xml:space="preserve"> </w:t>
            </w:r>
            <w:r w:rsidR="005664C5" w:rsidRPr="00A324A7">
              <w:rPr>
                <w:rFonts w:asciiTheme="minorHAnsi" w:hAnsiTheme="minorHAnsi" w:cs="Arial"/>
                <w:color w:val="04326C"/>
                <w:sz w:val="20"/>
              </w:rPr>
              <w:fldChar w:fldCharType="end"/>
            </w:r>
          </w:p>
        </w:tc>
      </w:tr>
    </w:tbl>
    <w:p w14:paraId="5FD3980F" w14:textId="77777777" w:rsidR="00DF5980" w:rsidRPr="004978C3" w:rsidRDefault="00DF5980" w:rsidP="004978C3">
      <w:pPr>
        <w:spacing w:after="0" w:line="240" w:lineRule="auto"/>
        <w:rPr>
          <w:rFonts w:ascii="Avenir Roman" w:hAnsi="Avenir Roman"/>
          <w:sz w:val="4"/>
        </w:rPr>
      </w:pPr>
    </w:p>
    <w:tbl>
      <w:tblPr>
        <w:tblW w:w="5000" w:type="pct"/>
        <w:tblInd w:w="-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58" w:type="dxa"/>
          <w:left w:w="58" w:type="dxa"/>
          <w:bottom w:w="58" w:type="dxa"/>
          <w:right w:w="58" w:type="dxa"/>
        </w:tblCellMar>
        <w:tblLook w:val="04A0" w:firstRow="1" w:lastRow="0" w:firstColumn="1" w:lastColumn="0" w:noHBand="0" w:noVBand="1"/>
      </w:tblPr>
      <w:tblGrid>
        <w:gridCol w:w="7193"/>
        <w:gridCol w:w="7191"/>
      </w:tblGrid>
      <w:tr w:rsidR="004978C3" w:rsidRPr="004978C3" w14:paraId="5CB0277B" w14:textId="77777777" w:rsidTr="004978C3">
        <w:trPr>
          <w:tblHeader/>
        </w:trPr>
        <w:tc>
          <w:tcPr>
            <w:tcW w:w="7193" w:type="dxa"/>
            <w:shd w:val="clear" w:color="000000" w:fill="808080"/>
            <w:noWrap/>
            <w:vAlign w:val="center"/>
          </w:tcPr>
          <w:p w14:paraId="1BBA34F5" w14:textId="44FC5DE9"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Assumptions</w:t>
            </w:r>
          </w:p>
        </w:tc>
        <w:tc>
          <w:tcPr>
            <w:tcW w:w="7191" w:type="dxa"/>
            <w:shd w:val="clear" w:color="000000" w:fill="808080"/>
            <w:noWrap/>
            <w:vAlign w:val="center"/>
          </w:tcPr>
          <w:p w14:paraId="518E5718" w14:textId="09EDE353" w:rsidR="004978C3" w:rsidRPr="004978C3" w:rsidRDefault="004978C3" w:rsidP="004978C3">
            <w:pPr>
              <w:spacing w:after="0" w:line="240" w:lineRule="auto"/>
              <w:jc w:val="center"/>
              <w:rPr>
                <w:rFonts w:ascii="Avenir Roman" w:eastAsia="Times New Roman" w:hAnsi="Avenir Roman" w:cs="Arial"/>
                <w:b/>
                <w:bCs/>
                <w:color w:val="FFFFFF"/>
                <w:sz w:val="18"/>
                <w:szCs w:val="18"/>
              </w:rPr>
            </w:pPr>
            <w:r w:rsidRPr="004978C3">
              <w:rPr>
                <w:rFonts w:ascii="Avenir Roman" w:eastAsia="Times New Roman" w:hAnsi="Avenir Roman" w:cs="Arial"/>
                <w:b/>
                <w:bCs/>
                <w:color w:val="FFFFFF"/>
                <w:sz w:val="18"/>
                <w:szCs w:val="18"/>
              </w:rPr>
              <w:t>External Factors</w:t>
            </w:r>
          </w:p>
        </w:tc>
      </w:tr>
      <w:tr w:rsidR="004978C3" w:rsidRPr="003E38F4" w14:paraId="4796B187" w14:textId="77777777" w:rsidTr="004978C3">
        <w:trPr>
          <w:trHeight w:val="1889"/>
        </w:trPr>
        <w:tc>
          <w:tcPr>
            <w:tcW w:w="7193" w:type="dxa"/>
            <w:shd w:val="clear" w:color="auto" w:fill="auto"/>
            <w:noWrap/>
            <w:hideMark/>
          </w:tcPr>
          <w:p w14:paraId="6E3A9E80" w14:textId="77777777" w:rsidR="00935DB7" w:rsidRPr="00935DB7" w:rsidRDefault="005664C5" w:rsidP="00935DB7">
            <w:pPr>
              <w:spacing w:after="0" w:line="240" w:lineRule="auto"/>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1. Roll out and use of co-enrollments, collaboration, and a referral system.</w:t>
            </w:r>
          </w:p>
          <w:p w14:paraId="59DF7861" w14:textId="77777777" w:rsidR="00935DB7" w:rsidRPr="00935DB7" w:rsidRDefault="00935DB7" w:rsidP="00935DB7">
            <w:pPr>
              <w:spacing w:after="0" w:line="240" w:lineRule="auto"/>
              <w:rPr>
                <w:rFonts w:asciiTheme="minorHAnsi" w:hAnsiTheme="minorHAnsi" w:cs="Arial"/>
                <w:noProof/>
                <w:color w:val="04326C"/>
                <w:sz w:val="20"/>
              </w:rPr>
            </w:pPr>
            <w:r w:rsidRPr="00935DB7">
              <w:rPr>
                <w:rFonts w:asciiTheme="minorHAnsi" w:hAnsiTheme="minorHAnsi" w:cs="Arial"/>
                <w:noProof/>
                <w:color w:val="04326C"/>
                <w:sz w:val="20"/>
              </w:rPr>
              <w:t>2. Cross referrals from member’s guidance counselors and advisors (internal).</w:t>
            </w:r>
          </w:p>
          <w:p w14:paraId="109D7FF3" w14:textId="6D1A0005" w:rsidR="004978C3" w:rsidRPr="003E38F4" w:rsidRDefault="00935DB7" w:rsidP="00935DB7">
            <w:pPr>
              <w:spacing w:after="0" w:line="240" w:lineRule="auto"/>
              <w:rPr>
                <w:rFonts w:ascii="Arial" w:eastAsia="Times New Roman" w:hAnsi="Arial" w:cs="Arial"/>
                <w:color w:val="000000"/>
                <w:sz w:val="20"/>
                <w:szCs w:val="20"/>
              </w:rPr>
            </w:pPr>
            <w:r w:rsidRPr="00935DB7">
              <w:rPr>
                <w:rFonts w:asciiTheme="minorHAnsi" w:hAnsiTheme="minorHAnsi" w:cs="Arial"/>
                <w:noProof/>
                <w:color w:val="04326C"/>
                <w:sz w:val="20"/>
              </w:rPr>
              <w:t>3. Cross referrals to employment agencies (external).</w:t>
            </w:r>
            <w:r w:rsidR="005664C5" w:rsidRPr="00A324A7">
              <w:rPr>
                <w:rFonts w:asciiTheme="minorHAnsi" w:hAnsiTheme="minorHAnsi" w:cs="Arial"/>
                <w:color w:val="04326C"/>
                <w:sz w:val="20"/>
              </w:rPr>
              <w:fldChar w:fldCharType="end"/>
            </w:r>
          </w:p>
        </w:tc>
        <w:tc>
          <w:tcPr>
            <w:tcW w:w="7191" w:type="dxa"/>
            <w:shd w:val="clear" w:color="auto" w:fill="auto"/>
            <w:noWrap/>
            <w:hideMark/>
          </w:tcPr>
          <w:p w14:paraId="07223D4F" w14:textId="304A157B" w:rsidR="004978C3" w:rsidRPr="003E38F4" w:rsidRDefault="005664C5" w:rsidP="00935DB7">
            <w:pPr>
              <w:spacing w:after="0" w:line="240" w:lineRule="auto"/>
              <w:rPr>
                <w:rFonts w:ascii="Arial" w:eastAsia="Times New Roman" w:hAnsi="Arial" w:cs="Arial"/>
                <w:color w:val="000000"/>
                <w:sz w:val="20"/>
                <w:szCs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 xml:space="preserve">1. Collaboration with community partnerships, including but not limited to: The Job Market, EDD, ETD, employment agencies, and local tribes. </w:t>
            </w:r>
            <w:r w:rsidRPr="00A324A7">
              <w:rPr>
                <w:rFonts w:asciiTheme="minorHAnsi" w:hAnsiTheme="minorHAnsi" w:cs="Arial"/>
                <w:color w:val="04326C"/>
                <w:sz w:val="20"/>
              </w:rPr>
              <w:fldChar w:fldCharType="end"/>
            </w:r>
          </w:p>
        </w:tc>
      </w:tr>
    </w:tbl>
    <w:p w14:paraId="31368C1D" w14:textId="1661F508" w:rsidR="00C444D1" w:rsidRPr="00C444D1" w:rsidRDefault="00C444D1" w:rsidP="00C444D1">
      <w:pPr>
        <w:sectPr w:rsidR="00C444D1" w:rsidRPr="00C444D1" w:rsidSect="00C444D1">
          <w:pgSz w:w="15840" w:h="12240" w:orient="landscape"/>
          <w:pgMar w:top="720" w:right="720" w:bottom="720" w:left="720" w:header="720" w:footer="720" w:gutter="0"/>
          <w:cols w:space="720"/>
          <w:docGrid w:linePitch="299"/>
        </w:sectPr>
      </w:pPr>
      <w:bookmarkStart w:id="24" w:name="_qxvgy0xvwzr0" w:colFirst="0" w:colLast="0"/>
      <w:bookmarkEnd w:id="24"/>
    </w:p>
    <w:p w14:paraId="0639774A" w14:textId="100F26AB" w:rsidR="00600745" w:rsidRPr="007C5BD1" w:rsidRDefault="001C1EEB" w:rsidP="00C94148">
      <w:pPr>
        <w:pStyle w:val="Heading3"/>
      </w:pPr>
      <w:bookmarkStart w:id="25" w:name="_Toc527969660"/>
      <w:r>
        <w:lastRenderedPageBreak/>
        <w:t xml:space="preserve">Table 3. </w:t>
      </w:r>
      <w:r w:rsidR="00BA6C2C" w:rsidRPr="00BA6C2C">
        <w:t>Progress Indicators</w:t>
      </w:r>
      <w:bookmarkEnd w:id="25"/>
    </w:p>
    <w:p w14:paraId="65A1F938" w14:textId="645E3F79" w:rsidR="00600745" w:rsidRPr="00976123" w:rsidRDefault="00600745" w:rsidP="00976123">
      <w:pPr>
        <w:spacing w:after="0" w:line="240" w:lineRule="auto"/>
        <w:rPr>
          <w:rFonts w:ascii="Times New Roman" w:eastAsia="Times New Roman" w:hAnsi="Times New Roman" w:cs="Times New Roman"/>
          <w:color w:val="auto"/>
          <w:sz w:val="24"/>
          <w:szCs w:val="24"/>
        </w:rPr>
      </w:pPr>
      <w:r w:rsidRPr="007C5BD1">
        <w:rPr>
          <w:rFonts w:ascii="Avenir Roman" w:eastAsia="Times New Roman" w:hAnsi="Avenir Roman" w:cs="Arial"/>
          <w:i/>
          <w:iCs/>
          <w:color w:val="757171"/>
          <w:sz w:val="20"/>
        </w:rPr>
        <w:t xml:space="preserve">Provide three to five SMART (Specific, Measurable, Attainable, Realistic, and Time-bound) objectives by which your consortium will assess progress and impact during the </w:t>
      </w:r>
      <w:r w:rsidR="008C0B4E">
        <w:rPr>
          <w:rFonts w:ascii="Avenir Roman" w:eastAsia="Times New Roman" w:hAnsi="Avenir Roman" w:cs="Arial"/>
          <w:i/>
          <w:iCs/>
          <w:color w:val="757171"/>
          <w:sz w:val="20"/>
        </w:rPr>
        <w:t xml:space="preserve">next </w:t>
      </w:r>
      <w:r w:rsidRPr="007C5BD1">
        <w:rPr>
          <w:rFonts w:ascii="Avenir Roman" w:eastAsia="Times New Roman" w:hAnsi="Avenir Roman" w:cs="Arial"/>
          <w:i/>
          <w:iCs/>
          <w:color w:val="757171"/>
          <w:sz w:val="20"/>
        </w:rPr>
        <w:t xml:space="preserve">three-year </w:t>
      </w:r>
      <w:r w:rsidR="008C0B4E">
        <w:rPr>
          <w:rFonts w:ascii="Avenir Roman" w:eastAsia="Times New Roman" w:hAnsi="Avenir Roman" w:cs="Arial"/>
          <w:i/>
          <w:iCs/>
          <w:color w:val="757171"/>
          <w:sz w:val="20"/>
        </w:rPr>
        <w:t>cycle</w:t>
      </w:r>
      <w:r w:rsidRPr="007C5BD1">
        <w:rPr>
          <w:rFonts w:ascii="Avenir Roman" w:eastAsia="Times New Roman" w:hAnsi="Avenir Roman" w:cs="Arial"/>
          <w:i/>
          <w:iCs/>
          <w:color w:val="757171"/>
          <w:sz w:val="20"/>
        </w:rPr>
        <w:t xml:space="preserve">. These objectives should map directly to your Logic Model activities, outputs, </w:t>
      </w:r>
      <w:r w:rsidR="008C0B4E">
        <w:rPr>
          <w:rFonts w:ascii="Avenir Roman" w:eastAsia="Times New Roman" w:hAnsi="Avenir Roman" w:cs="Arial"/>
          <w:i/>
          <w:iCs/>
          <w:color w:val="757171"/>
          <w:sz w:val="20"/>
        </w:rPr>
        <w:t xml:space="preserve">and / </w:t>
      </w:r>
      <w:r w:rsidRPr="007C5BD1">
        <w:rPr>
          <w:rFonts w:ascii="Avenir Roman" w:eastAsia="Times New Roman" w:hAnsi="Avenir Roman" w:cs="Arial"/>
          <w:i/>
          <w:iCs/>
          <w:color w:val="757171"/>
          <w:sz w:val="20"/>
        </w:rPr>
        <w:t>or outcomes</w:t>
      </w:r>
      <w:r w:rsidR="008C0B4E">
        <w:rPr>
          <w:rFonts w:ascii="Avenir Roman" w:eastAsia="Times New Roman" w:hAnsi="Avenir Roman" w:cs="Arial"/>
          <w:i/>
          <w:iCs/>
          <w:color w:val="757171"/>
          <w:sz w:val="20"/>
        </w:rPr>
        <w:t xml:space="preserve">, as these will be a driving factor for annual plans throughout the funding period. </w:t>
      </w:r>
      <w:r w:rsidR="00976123">
        <w:rPr>
          <w:rFonts w:ascii="Times New Roman" w:eastAsia="Times New Roman" w:hAnsi="Times New Roman" w:cs="Times New Roman"/>
          <w:color w:val="auto"/>
          <w:sz w:val="24"/>
          <w:szCs w:val="24"/>
        </w:rPr>
        <w:br/>
      </w:r>
    </w:p>
    <w:p w14:paraId="3FCB6A1E" w14:textId="2288E422" w:rsidR="007C5BD1" w:rsidRDefault="00600745" w:rsidP="00600745">
      <w:pPr>
        <w:rPr>
          <w:rFonts w:ascii="Avenir Roman" w:eastAsia="Times New Roman" w:hAnsi="Avenir Roman" w:cs="Arial"/>
          <w:i/>
          <w:iCs/>
          <w:color w:val="757171"/>
          <w:sz w:val="20"/>
        </w:rPr>
      </w:pPr>
      <w:r w:rsidRPr="007C5BD1">
        <w:rPr>
          <w:rFonts w:ascii="Avenir Roman" w:eastAsia="Times New Roman" w:hAnsi="Avenir Roman" w:cs="Arial"/>
          <w:i/>
          <w:iCs/>
          <w:color w:val="757171"/>
          <w:sz w:val="20"/>
          <w:u w:val="single"/>
        </w:rPr>
        <w:t>Example:</w:t>
      </w:r>
      <w:r w:rsidRPr="007C5BD1">
        <w:rPr>
          <w:rFonts w:ascii="Avenir Roman" w:eastAsia="Times New Roman" w:hAnsi="Avenir Roman" w:cs="Arial"/>
          <w:i/>
          <w:iCs/>
          <w:color w:val="757171"/>
          <w:sz w:val="20"/>
        </w:rPr>
        <w:t xml:space="preserve"> By May 2019, increase the number of agencies that have aligned CTE pathways and developed comprehensive program maps from 2 to 10.</w:t>
      </w:r>
    </w:p>
    <w:p w14:paraId="78A4BFBE" w14:textId="79B93B35" w:rsidR="00935DB7" w:rsidRPr="00935DB7" w:rsidRDefault="00935DB7" w:rsidP="00600745">
      <w:pPr>
        <w:rPr>
          <w:rFonts w:asciiTheme="minorHAnsi" w:eastAsia="Times New Roman" w:hAnsiTheme="minorHAnsi" w:cs="Arial"/>
          <w:b/>
          <w:iCs/>
          <w:color w:val="757171"/>
          <w:sz w:val="24"/>
          <w:szCs w:val="24"/>
        </w:rPr>
      </w:pPr>
      <w:r w:rsidRPr="00935DB7">
        <w:rPr>
          <w:rFonts w:asciiTheme="minorHAnsi" w:eastAsia="Times New Roman" w:hAnsiTheme="minorHAnsi" w:cs="Arial"/>
          <w:b/>
          <w:iCs/>
          <w:color w:val="757171"/>
          <w:sz w:val="24"/>
          <w:szCs w:val="24"/>
        </w:rPr>
        <w:t>Using baseline data found in Launchboard for the 2017/2018 year the NCAEC made the following SM</w:t>
      </w:r>
      <w:r>
        <w:rPr>
          <w:rFonts w:asciiTheme="minorHAnsi" w:eastAsia="Times New Roman" w:hAnsiTheme="minorHAnsi" w:cs="Arial"/>
          <w:b/>
          <w:iCs/>
          <w:color w:val="757171"/>
          <w:sz w:val="24"/>
          <w:szCs w:val="24"/>
        </w:rPr>
        <w:t xml:space="preserve">ART goals: </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8415"/>
      </w:tblGrid>
      <w:tr w:rsidR="00600745" w:rsidRPr="003711FD" w14:paraId="117A6908"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4314ABD2"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10758D" w14:textId="5A22D2A3" w:rsidR="00600745" w:rsidRPr="00A324A7" w:rsidRDefault="00A708E7" w:rsidP="00935DB7">
            <w:pPr>
              <w:spacing w:after="0" w:line="240" w:lineRule="auto"/>
              <w:rPr>
                <w:rFonts w:ascii="Arial" w:eastAsia="Times New Roman" w:hAnsi="Arial" w:cs="Arial"/>
                <w:color w:val="04326C"/>
                <w:sz w:val="20"/>
                <w:szCs w:val="20"/>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935DB7" w:rsidRPr="00935DB7">
              <w:rPr>
                <w:rFonts w:ascii="Arial" w:hAnsi="Arial" w:cs="Arial"/>
                <w:noProof/>
                <w:color w:val="04326C"/>
                <w:sz w:val="20"/>
              </w:rPr>
              <w:t xml:space="preserve">By June 30, 2020 increase the number of students referred to post-secondary coursework by member by 2%. </w:t>
            </w:r>
            <w:r w:rsidRPr="00A324A7">
              <w:rPr>
                <w:rFonts w:ascii="Arial" w:hAnsi="Arial" w:cs="Arial"/>
                <w:color w:val="04326C"/>
                <w:sz w:val="20"/>
              </w:rPr>
              <w:fldChar w:fldCharType="end"/>
            </w:r>
          </w:p>
        </w:tc>
      </w:tr>
      <w:tr w:rsidR="006117E8" w:rsidRPr="006117E8" w14:paraId="5DA7BE22"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615149CE" w14:textId="77777777" w:rsidR="006117E8" w:rsidRPr="006117E8" w:rsidRDefault="006117E8"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068955A8" w14:textId="77777777" w:rsidR="006117E8" w:rsidRPr="00A324A7" w:rsidRDefault="006117E8" w:rsidP="00D95331">
            <w:pPr>
              <w:widowControl w:val="0"/>
              <w:spacing w:after="0" w:line="240" w:lineRule="auto"/>
              <w:ind w:left="720" w:hanging="360"/>
              <w:rPr>
                <w:rFonts w:cstheme="majorHAnsi"/>
                <w:i/>
                <w:color w:val="04326C"/>
                <w:sz w:val="6"/>
                <w:szCs w:val="6"/>
              </w:rPr>
            </w:pPr>
          </w:p>
        </w:tc>
      </w:tr>
      <w:tr w:rsidR="00600745" w:rsidRPr="003711FD" w14:paraId="57DC525B"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23A85830"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C4BED53" w14:textId="6B50509E" w:rsidR="00600745" w:rsidRPr="00A324A7" w:rsidRDefault="00D95331" w:rsidP="00935DB7">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935DB7" w:rsidRPr="00935DB7">
              <w:rPr>
                <w:rFonts w:ascii="Arial" w:hAnsi="Arial" w:cs="Arial"/>
                <w:noProof/>
                <w:color w:val="04326C"/>
                <w:sz w:val="20"/>
              </w:rPr>
              <w:t xml:space="preserve">By June 30, 2021 increase the number of enrolled adult learners into programs for Adults with Disabilities by 5%. </w:t>
            </w:r>
            <w:r w:rsidRPr="00A324A7">
              <w:rPr>
                <w:rFonts w:ascii="Arial" w:hAnsi="Arial" w:cs="Arial"/>
                <w:color w:val="04326C"/>
                <w:sz w:val="20"/>
              </w:rPr>
              <w:fldChar w:fldCharType="end"/>
            </w:r>
          </w:p>
        </w:tc>
      </w:tr>
      <w:tr w:rsidR="00600745" w:rsidRPr="006117E8" w14:paraId="5DFE0D8C"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3A5058A8"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765F894"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6ABE70C2"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65A8E25"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0B0C1CED" w14:textId="0BB5BC9E" w:rsidR="00600745" w:rsidRPr="00A324A7" w:rsidRDefault="00D95331" w:rsidP="00935DB7">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935DB7" w:rsidRPr="00935DB7">
              <w:rPr>
                <w:rFonts w:ascii="Arial" w:hAnsi="Arial" w:cs="Arial"/>
                <w:noProof/>
                <w:color w:val="04326C"/>
                <w:sz w:val="20"/>
              </w:rPr>
              <w:t>By June 30, 2022 increase the number of adult learners who enroll in a post-secondary CTE program by 5%</w:t>
            </w:r>
            <w:r w:rsidRPr="00A324A7">
              <w:rPr>
                <w:rFonts w:ascii="Arial" w:hAnsi="Arial" w:cs="Arial"/>
                <w:color w:val="04326C"/>
                <w:sz w:val="20"/>
              </w:rPr>
              <w:fldChar w:fldCharType="end"/>
            </w:r>
          </w:p>
        </w:tc>
      </w:tr>
      <w:tr w:rsidR="00600745" w:rsidRPr="006117E8" w14:paraId="6450292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26F8B951"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2EEA0F0D" w14:textId="77777777" w:rsidR="00600745" w:rsidRPr="00A324A7" w:rsidRDefault="00600745" w:rsidP="00D95331">
            <w:pPr>
              <w:widowControl w:val="0"/>
              <w:spacing w:after="0" w:line="240" w:lineRule="auto"/>
              <w:ind w:left="720" w:hanging="360"/>
              <w:rPr>
                <w:rFonts w:cstheme="majorHAnsi"/>
                <w:i/>
                <w:color w:val="04326C"/>
                <w:sz w:val="6"/>
                <w:szCs w:val="6"/>
              </w:rPr>
            </w:pPr>
          </w:p>
        </w:tc>
      </w:tr>
      <w:tr w:rsidR="00600745" w:rsidRPr="003711FD" w14:paraId="46F54CEF" w14:textId="77777777" w:rsidTr="00C94148">
        <w:tc>
          <w:tcPr>
            <w:tcW w:w="945" w:type="dxa"/>
            <w:tcBorders>
              <w:top w:val="nil"/>
              <w:left w:val="nil"/>
              <w:bottom w:val="nil"/>
              <w:right w:val="nil"/>
            </w:tcBorders>
            <w:shd w:val="clear" w:color="auto" w:fill="auto"/>
            <w:tcMar>
              <w:top w:w="100" w:type="dxa"/>
              <w:left w:w="100" w:type="dxa"/>
              <w:bottom w:w="100" w:type="dxa"/>
              <w:right w:w="100" w:type="dxa"/>
            </w:tcMar>
          </w:tcPr>
          <w:p w14:paraId="7247CFA6" w14:textId="77777777" w:rsidR="00600745" w:rsidRPr="003711FD" w:rsidRDefault="00600745" w:rsidP="00600745">
            <w:pPr>
              <w:widowControl w:val="0"/>
              <w:numPr>
                <w:ilvl w:val="0"/>
                <w:numId w:val="1"/>
              </w:numPr>
              <w:pBdr>
                <w:top w:val="nil"/>
                <w:left w:val="nil"/>
                <w:bottom w:val="nil"/>
                <w:right w:val="nil"/>
                <w:between w:val="nil"/>
              </w:pBdr>
              <w:spacing w:after="0" w:line="240" w:lineRule="auto"/>
              <w:contextualSpacing/>
              <w:jc w:val="right"/>
              <w:rPr>
                <w:rFonts w:cstheme="majorHAnsi"/>
                <w:b/>
              </w:rPr>
            </w:pPr>
          </w:p>
        </w:tc>
        <w:tc>
          <w:tcPr>
            <w:tcW w:w="8415" w:type="dxa"/>
            <w:tcBorders>
              <w:top w:val="nil"/>
              <w:left w:val="nil"/>
              <w:bottom w:val="nil"/>
              <w:right w:val="nil"/>
            </w:tcBorders>
            <w:shd w:val="clear" w:color="auto" w:fill="auto"/>
            <w:tcMar>
              <w:top w:w="100" w:type="dxa"/>
              <w:left w:w="100" w:type="dxa"/>
              <w:bottom w:w="100" w:type="dxa"/>
              <w:right w:w="100" w:type="dxa"/>
            </w:tcMar>
            <w:vAlign w:val="center"/>
          </w:tcPr>
          <w:p w14:paraId="47F617A1" w14:textId="52F2BA7F" w:rsidR="00600745" w:rsidRPr="00A324A7" w:rsidRDefault="00D95331" w:rsidP="00935DB7">
            <w:pPr>
              <w:spacing w:after="0" w:line="240" w:lineRule="auto"/>
              <w:rPr>
                <w:rFonts w:cstheme="majorHAnsi"/>
                <w:color w:val="04326C"/>
              </w:rPr>
            </w:pPr>
            <w:r w:rsidRPr="00A324A7">
              <w:rPr>
                <w:rFonts w:ascii="Arial" w:hAnsi="Arial" w:cs="Arial"/>
                <w:color w:val="04326C"/>
                <w:sz w:val="20"/>
              </w:rPr>
              <w:fldChar w:fldCharType="begin">
                <w:ffData>
                  <w:name w:val="txt2_1"/>
                  <w:enabled/>
                  <w:calcOnExit w:val="0"/>
                  <w:textInput/>
                </w:ffData>
              </w:fldChar>
            </w:r>
            <w:r w:rsidRPr="00A324A7">
              <w:rPr>
                <w:rFonts w:ascii="Arial" w:hAnsi="Arial" w:cs="Arial"/>
                <w:color w:val="04326C"/>
                <w:sz w:val="20"/>
              </w:rPr>
              <w:instrText xml:space="preserve"> FORMTEXT </w:instrText>
            </w:r>
            <w:r w:rsidRPr="00A324A7">
              <w:rPr>
                <w:rFonts w:ascii="Arial" w:hAnsi="Arial" w:cs="Arial"/>
                <w:color w:val="04326C"/>
                <w:sz w:val="20"/>
              </w:rPr>
            </w:r>
            <w:r w:rsidRPr="00A324A7">
              <w:rPr>
                <w:rFonts w:ascii="Arial" w:hAnsi="Arial" w:cs="Arial"/>
                <w:color w:val="04326C"/>
                <w:sz w:val="20"/>
              </w:rPr>
              <w:fldChar w:fldCharType="separate"/>
            </w:r>
            <w:r w:rsidR="00935DB7" w:rsidRPr="00935DB7">
              <w:rPr>
                <w:rFonts w:ascii="Arial" w:hAnsi="Arial" w:cs="Arial"/>
                <w:noProof/>
                <w:color w:val="04326C"/>
                <w:sz w:val="20"/>
              </w:rPr>
              <w:t>By June 30, 2022 increase the number of adults receiving industry recognized certifications by 2%.</w:t>
            </w:r>
            <w:r w:rsidRPr="00A324A7">
              <w:rPr>
                <w:rFonts w:ascii="Arial" w:hAnsi="Arial" w:cs="Arial"/>
                <w:color w:val="04326C"/>
                <w:sz w:val="20"/>
              </w:rPr>
              <w:fldChar w:fldCharType="end"/>
            </w:r>
          </w:p>
        </w:tc>
      </w:tr>
      <w:tr w:rsidR="00600745" w:rsidRPr="006117E8" w14:paraId="367A6F88" w14:textId="77777777" w:rsidTr="00D95331">
        <w:tc>
          <w:tcPr>
            <w:tcW w:w="945" w:type="dxa"/>
            <w:tcBorders>
              <w:top w:val="nil"/>
              <w:left w:val="nil"/>
              <w:bottom w:val="nil"/>
              <w:right w:val="nil"/>
            </w:tcBorders>
            <w:shd w:val="clear" w:color="auto" w:fill="auto"/>
            <w:tcMar>
              <w:top w:w="0" w:type="dxa"/>
              <w:left w:w="0" w:type="dxa"/>
              <w:bottom w:w="0" w:type="dxa"/>
              <w:right w:w="0" w:type="dxa"/>
            </w:tcMar>
          </w:tcPr>
          <w:p w14:paraId="4B9557AC" w14:textId="77777777" w:rsidR="00600745" w:rsidRPr="006117E8" w:rsidRDefault="00600745" w:rsidP="00D95331">
            <w:pPr>
              <w:widowControl w:val="0"/>
              <w:spacing w:after="0" w:line="240" w:lineRule="auto"/>
              <w:ind w:left="720" w:hanging="360"/>
              <w:jc w:val="right"/>
              <w:rPr>
                <w:rFonts w:cstheme="majorHAnsi"/>
                <w:b/>
                <w:sz w:val="6"/>
                <w:szCs w:val="6"/>
              </w:rPr>
            </w:pPr>
          </w:p>
        </w:tc>
        <w:tc>
          <w:tcPr>
            <w:tcW w:w="8415" w:type="dxa"/>
            <w:tcBorders>
              <w:top w:val="nil"/>
              <w:left w:val="nil"/>
              <w:bottom w:val="nil"/>
              <w:right w:val="nil"/>
            </w:tcBorders>
            <w:shd w:val="clear" w:color="auto" w:fill="auto"/>
            <w:tcMar>
              <w:top w:w="0" w:type="dxa"/>
              <w:left w:w="0" w:type="dxa"/>
              <w:bottom w:w="0" w:type="dxa"/>
              <w:right w:w="0" w:type="dxa"/>
            </w:tcMar>
            <w:vAlign w:val="center"/>
          </w:tcPr>
          <w:p w14:paraId="3B513C13" w14:textId="77777777" w:rsidR="00600745" w:rsidRPr="00A324A7" w:rsidRDefault="00600745" w:rsidP="00D95331">
            <w:pPr>
              <w:widowControl w:val="0"/>
              <w:spacing w:after="0" w:line="240" w:lineRule="auto"/>
              <w:ind w:left="720" w:hanging="360"/>
              <w:rPr>
                <w:rFonts w:cstheme="majorHAnsi"/>
                <w:i/>
                <w:color w:val="04326C"/>
                <w:sz w:val="6"/>
                <w:szCs w:val="6"/>
              </w:rPr>
            </w:pPr>
          </w:p>
        </w:tc>
      </w:tr>
    </w:tbl>
    <w:p w14:paraId="32015BBC" w14:textId="77777777" w:rsidR="00535D34" w:rsidRDefault="00535D34" w:rsidP="00535D34">
      <w:pPr>
        <w:pStyle w:val="Heading2"/>
        <w:pBdr>
          <w:bottom w:val="none" w:sz="0" w:space="0" w:color="auto"/>
        </w:pBdr>
      </w:pPr>
      <w:bookmarkStart w:id="26" w:name="_divq3rem2h3i" w:colFirst="0" w:colLast="0"/>
      <w:bookmarkStart w:id="27" w:name="_wjuya0ah4s9t" w:colFirst="0" w:colLast="0"/>
      <w:bookmarkEnd w:id="26"/>
      <w:bookmarkEnd w:id="27"/>
    </w:p>
    <w:p w14:paraId="38B7EA67" w14:textId="77777777" w:rsidR="00535D34" w:rsidRDefault="00535D34">
      <w:pPr>
        <w:spacing w:after="0" w:line="240" w:lineRule="auto"/>
        <w:rPr>
          <w:rFonts w:eastAsia="Lato Light" w:cstheme="majorHAnsi"/>
          <w:sz w:val="32"/>
          <w:szCs w:val="32"/>
        </w:rPr>
      </w:pPr>
      <w:r>
        <w:br w:type="page"/>
      </w:r>
    </w:p>
    <w:p w14:paraId="2C056972" w14:textId="7929192E" w:rsidR="00600745" w:rsidRPr="003711FD" w:rsidRDefault="00600745" w:rsidP="007C5BD1">
      <w:pPr>
        <w:pStyle w:val="Heading2"/>
      </w:pPr>
      <w:bookmarkStart w:id="28" w:name="_Toc527969661"/>
      <w:r w:rsidRPr="003711FD">
        <w:lastRenderedPageBreak/>
        <w:t>2.5</w:t>
      </w:r>
      <w:r>
        <w:t xml:space="preserve"> </w:t>
      </w:r>
      <w:r w:rsidRPr="003711FD">
        <w:t>Piloting</w:t>
      </w:r>
      <w:r>
        <w:t xml:space="preserve"> </w:t>
      </w:r>
      <w:r w:rsidRPr="003711FD">
        <w:t>and</w:t>
      </w:r>
      <w:r>
        <w:t xml:space="preserve"> </w:t>
      </w:r>
      <w:r w:rsidRPr="003711FD">
        <w:t>Implementation</w:t>
      </w:r>
      <w:bookmarkEnd w:id="28"/>
    </w:p>
    <w:p w14:paraId="5C00444A" w14:textId="77777777" w:rsidR="00935DB7" w:rsidRPr="00935DB7" w:rsidRDefault="00D95331" w:rsidP="00935DB7">
      <w:pPr>
        <w:rPr>
          <w:rFonts w:asciiTheme="minorHAnsi" w:hAnsiTheme="minorHAnsi" w:cs="Arial"/>
          <w:noProof/>
          <w:color w:val="04326C"/>
          <w:sz w:val="20"/>
        </w:rPr>
      </w:pPr>
      <w:r w:rsidRPr="00A324A7">
        <w:rPr>
          <w:rFonts w:asciiTheme="minorHAnsi" w:hAnsiTheme="minorHAnsi" w:cs="Arial"/>
          <w:color w:val="04326C"/>
          <w:sz w:val="20"/>
        </w:rPr>
        <w:fldChar w:fldCharType="begin">
          <w:ffData>
            <w:name w:val="txt2_1"/>
            <w:enabled/>
            <w:calcOnExit w:val="0"/>
            <w:textInput/>
          </w:ffData>
        </w:fldChar>
      </w:r>
      <w:r w:rsidRPr="00A324A7">
        <w:rPr>
          <w:rFonts w:asciiTheme="minorHAnsi" w:hAnsiTheme="minorHAnsi" w:cs="Arial"/>
          <w:color w:val="04326C"/>
          <w:sz w:val="20"/>
        </w:rPr>
        <w:instrText xml:space="preserve"> FORMTEXT </w:instrText>
      </w:r>
      <w:r w:rsidRPr="00A324A7">
        <w:rPr>
          <w:rFonts w:asciiTheme="minorHAnsi" w:hAnsiTheme="minorHAnsi" w:cs="Arial"/>
          <w:color w:val="04326C"/>
          <w:sz w:val="20"/>
        </w:rPr>
      </w:r>
      <w:r w:rsidRPr="00A324A7">
        <w:rPr>
          <w:rFonts w:asciiTheme="minorHAnsi" w:hAnsiTheme="minorHAnsi" w:cs="Arial"/>
          <w:color w:val="04326C"/>
          <w:sz w:val="20"/>
        </w:rPr>
        <w:fldChar w:fldCharType="separate"/>
      </w:r>
      <w:r w:rsidR="00935DB7" w:rsidRPr="00935DB7">
        <w:rPr>
          <w:rFonts w:asciiTheme="minorHAnsi" w:hAnsiTheme="minorHAnsi" w:cs="Arial"/>
          <w:noProof/>
          <w:color w:val="04326C"/>
          <w:sz w:val="20"/>
        </w:rPr>
        <w:t xml:space="preserve">The NCAEC has several strong programs that provide consistent quality programming to meet the needs of adult learners. Current funding levels can limit the ability to pilot new activities that are no cost. When new strategies are developed, members can prototype the strategy for a defined period. New programs strategies will be in pilot status for a minimum of one term, but many pilots need additional time to truly assess the effectiveness. </w:t>
      </w:r>
    </w:p>
    <w:p w14:paraId="1148A998" w14:textId="77777777" w:rsidR="00935DB7" w:rsidRPr="00935DB7" w:rsidRDefault="00935DB7" w:rsidP="00935DB7">
      <w:pPr>
        <w:rPr>
          <w:rFonts w:asciiTheme="minorHAnsi" w:hAnsiTheme="minorHAnsi" w:cs="Arial"/>
          <w:noProof/>
          <w:color w:val="04326C"/>
          <w:sz w:val="20"/>
        </w:rPr>
      </w:pPr>
      <w:r w:rsidRPr="00935DB7">
        <w:rPr>
          <w:rFonts w:asciiTheme="minorHAnsi" w:hAnsiTheme="minorHAnsi" w:cs="Arial"/>
          <w:noProof/>
          <w:color w:val="04326C"/>
          <w:sz w:val="20"/>
        </w:rPr>
        <w:t>A second strategy for prototyping new projects is to shift funding from existing programs. This shift may be in response to emerging student, labor market, and or community need. These programs would align with one of the seven CAEP program areas and be tied to data that supports the change in the program area.</w:t>
      </w:r>
    </w:p>
    <w:p w14:paraId="0C8E0B1A" w14:textId="2B9EF679" w:rsidR="00FE6571" w:rsidRDefault="00935DB7" w:rsidP="00935DB7">
      <w:pPr>
        <w:rPr>
          <w:rFonts w:asciiTheme="minorHAnsi" w:hAnsiTheme="minorHAnsi" w:cs="Arial"/>
          <w:color w:val="04326C"/>
          <w:sz w:val="20"/>
        </w:rPr>
      </w:pPr>
      <w:r w:rsidRPr="00935DB7">
        <w:rPr>
          <w:rFonts w:asciiTheme="minorHAnsi" w:hAnsiTheme="minorHAnsi" w:cs="Arial"/>
          <w:noProof/>
          <w:color w:val="04326C"/>
          <w:sz w:val="20"/>
        </w:rPr>
        <w:t>Evaluation of the effectiveness will be collected through formative and summative data to assess the impact of pilots or new programs. Formative data will be collected by monitoring student persistence through hours of instruction. Summative data can be analyzed through pre and post assessments, along with completion of CAEP outcomes thru qualitative reports.</w:t>
      </w:r>
      <w:r w:rsidR="00D95331" w:rsidRPr="00A324A7">
        <w:rPr>
          <w:rFonts w:asciiTheme="minorHAnsi" w:hAnsiTheme="minorHAnsi" w:cs="Arial"/>
          <w:color w:val="04326C"/>
          <w:sz w:val="20"/>
        </w:rPr>
        <w:fldChar w:fldCharType="end"/>
      </w:r>
    </w:p>
    <w:p w14:paraId="7803E68A" w14:textId="39F7FA43" w:rsidR="00D95331" w:rsidRPr="00D6478F" w:rsidRDefault="00D95331" w:rsidP="00D6478F">
      <w:pPr>
        <w:spacing w:after="0" w:line="240" w:lineRule="auto"/>
        <w:rPr>
          <w:rFonts w:asciiTheme="minorHAnsi" w:hAnsiTheme="minorHAnsi" w:cs="Arial"/>
          <w:color w:val="04326C"/>
          <w:sz w:val="20"/>
        </w:rPr>
      </w:pPr>
    </w:p>
    <w:sectPr w:rsidR="00D95331" w:rsidRPr="00D6478F" w:rsidSect="00C444D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F05FF" w14:textId="77777777" w:rsidR="00BF3A85" w:rsidRDefault="00BF3A85" w:rsidP="00600745">
      <w:pPr>
        <w:spacing w:after="0" w:line="240" w:lineRule="auto"/>
      </w:pPr>
      <w:r>
        <w:separator/>
      </w:r>
    </w:p>
  </w:endnote>
  <w:endnote w:type="continuationSeparator" w:id="0">
    <w:p w14:paraId="4139D910" w14:textId="77777777" w:rsidR="00BF3A85" w:rsidRDefault="00BF3A85" w:rsidP="0060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Lato">
    <w:altName w:val="Times New Roman"/>
    <w:charset w:val="00"/>
    <w:family w:val="auto"/>
    <w:pitch w:val="default"/>
  </w:font>
  <w:font w:name="Lato Ligh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Ultra Light">
    <w:altName w:val="Corbel"/>
    <w:charset w:val="4D"/>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949F" w14:textId="041B217F" w:rsidR="00A41729" w:rsidRPr="00603443" w:rsidRDefault="00A41729" w:rsidP="00C444D1">
    <w:pPr>
      <w:spacing w:after="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1530B" w14:textId="68AEEECD" w:rsidR="00A41729" w:rsidRDefault="00A41729" w:rsidP="0060344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20A" w14:textId="609F3C39" w:rsidR="00A41729" w:rsidRPr="00C444D1" w:rsidRDefault="00A41729" w:rsidP="00C444D1">
    <w:pPr>
      <w:spacing w:after="0"/>
      <w:jc w:val="right"/>
      <w:rPr>
        <w:sz w:val="16"/>
      </w:rPr>
    </w:pPr>
    <w:r w:rsidRPr="00C94148">
      <w:rPr>
        <w:i/>
        <w:sz w:val="16"/>
      </w:rPr>
      <w:t xml:space="preserve">2019-21 Consortium Three-Year Plan | </w:t>
    </w:r>
    <w:r w:rsidRPr="00C94148">
      <w:rPr>
        <w:i/>
        <w:sz w:val="16"/>
      </w:rPr>
      <w:fldChar w:fldCharType="begin"/>
    </w:r>
    <w:r w:rsidRPr="00C94148">
      <w:rPr>
        <w:i/>
        <w:sz w:val="16"/>
      </w:rPr>
      <w:instrText>PAGE</w:instrText>
    </w:r>
    <w:r w:rsidRPr="00C94148">
      <w:rPr>
        <w:i/>
        <w:sz w:val="16"/>
      </w:rPr>
      <w:fldChar w:fldCharType="separate"/>
    </w:r>
    <w:r w:rsidR="00B24931">
      <w:rPr>
        <w:i/>
        <w:noProof/>
        <w:sz w:val="16"/>
      </w:rPr>
      <w:t>3</w:t>
    </w:r>
    <w:r w:rsidRPr="00C94148">
      <w:rP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5238"/>
      <w:docPartObj>
        <w:docPartGallery w:val="Page Numbers (Bottom of Page)"/>
        <w:docPartUnique/>
      </w:docPartObj>
    </w:sdtPr>
    <w:sdtEndPr>
      <w:rPr>
        <w:rStyle w:val="PageNumber"/>
        <w:sz w:val="18"/>
      </w:rPr>
    </w:sdtEndPr>
    <w:sdtContent>
      <w:p w14:paraId="037E23F0" w14:textId="05A3AA4B" w:rsidR="00A41729" w:rsidRDefault="00A41729" w:rsidP="00603443">
        <w:pPr>
          <w:pStyle w:val="Footer"/>
          <w:framePr w:wrap="none" w:vAnchor="text" w:hAnchor="page" w:x="7879" w:y="179"/>
          <w:ind w:right="360"/>
          <w:jc w:val="right"/>
          <w:rPr>
            <w:rStyle w:val="PageNumber"/>
          </w:rPr>
        </w:pPr>
        <w:r w:rsidRPr="00C94148">
          <w:rPr>
            <w:i/>
            <w:sz w:val="16"/>
          </w:rPr>
          <w:t xml:space="preserve">2019-21 Consortium Three-Year Plan |  </w:t>
        </w:r>
        <w:r w:rsidRPr="00603443">
          <w:rPr>
            <w:rStyle w:val="PageNumber"/>
            <w:sz w:val="18"/>
          </w:rPr>
          <w:fldChar w:fldCharType="begin"/>
        </w:r>
        <w:r w:rsidRPr="00603443">
          <w:rPr>
            <w:rStyle w:val="PageNumber"/>
            <w:sz w:val="18"/>
          </w:rPr>
          <w:instrText xml:space="preserve"> PAGE </w:instrText>
        </w:r>
        <w:r w:rsidRPr="00603443">
          <w:rPr>
            <w:rStyle w:val="PageNumber"/>
            <w:sz w:val="18"/>
          </w:rPr>
          <w:fldChar w:fldCharType="separate"/>
        </w:r>
        <w:r w:rsidRPr="00603443">
          <w:rPr>
            <w:rStyle w:val="PageNumber"/>
            <w:noProof/>
            <w:sz w:val="18"/>
          </w:rPr>
          <w:t>1</w:t>
        </w:r>
        <w:r w:rsidRPr="00603443">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 MERGEFORMAT </w:instrText>
        </w:r>
        <w:r>
          <w:rPr>
            <w:rStyle w:val="PageNumber"/>
            <w:sz w:val="18"/>
          </w:rPr>
          <w:fldChar w:fldCharType="separate"/>
        </w:r>
        <w:r w:rsidR="008A6842">
          <w:rPr>
            <w:rStyle w:val="PageNumber"/>
            <w:noProof/>
            <w:sz w:val="18"/>
          </w:rPr>
          <w:t>14</w:t>
        </w:r>
        <w:r>
          <w:rPr>
            <w:rStyle w:val="PageNumber"/>
            <w:sz w:val="18"/>
          </w:rPr>
          <w:fldChar w:fldCharType="end"/>
        </w:r>
      </w:p>
    </w:sdtContent>
  </w:sdt>
  <w:p w14:paraId="193562CA" w14:textId="77777777" w:rsidR="00A41729" w:rsidRDefault="00A41729" w:rsidP="00C444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5B9D9" w14:textId="77777777" w:rsidR="00BF3A85" w:rsidRDefault="00BF3A85" w:rsidP="00600745">
      <w:pPr>
        <w:spacing w:after="0" w:line="240" w:lineRule="auto"/>
      </w:pPr>
      <w:r>
        <w:separator/>
      </w:r>
    </w:p>
  </w:footnote>
  <w:footnote w:type="continuationSeparator" w:id="0">
    <w:p w14:paraId="3E5FA2DA" w14:textId="77777777" w:rsidR="00BF3A85" w:rsidRDefault="00BF3A85" w:rsidP="00600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A8E1" w14:textId="67B742FE" w:rsidR="00A41729" w:rsidRDefault="00A41729" w:rsidP="007C5BD1">
    <w:pPr>
      <w:jc w:val="right"/>
      <w:rPr>
        <w:color w:val="FF0000"/>
      </w:rPr>
    </w:pPr>
    <w:r w:rsidRPr="00D42100">
      <w:rPr>
        <w:color w:val="auto"/>
      </w:rPr>
      <w:fldChar w:fldCharType="begin"/>
    </w:r>
    <w:r w:rsidRPr="00D42100">
      <w:rPr>
        <w:color w:val="auto"/>
      </w:rPr>
      <w:instrText xml:space="preserve"> REF txt_consortum  \* MERGEFORMAT </w:instrText>
    </w:r>
    <w:r w:rsidRPr="00D42100">
      <w:rPr>
        <w:color w:val="auto"/>
      </w:rPr>
      <w:fldChar w:fldCharType="separate"/>
    </w:r>
    <w:r w:rsidR="008A6842" w:rsidRPr="008A6842">
      <w:rPr>
        <w:noProof/>
      </w:rPr>
      <w:t>North Coast Adult Education Consortium</w:t>
    </w:r>
    <w:r w:rsidR="008A6842">
      <w:rPr>
        <w:noProof/>
        <w:color w:val="04326C"/>
        <w:sz w:val="72"/>
      </w:rPr>
      <w:t xml:space="preserve"> </w:t>
    </w:r>
    <w:r w:rsidRPr="00D42100">
      <w:rPr>
        <w:color w:val="auto"/>
      </w:rPr>
      <w:fldChar w:fldCharType="end"/>
    </w:r>
    <w:r w:rsidRPr="00D42100">
      <w:rPr>
        <w:noProof/>
        <w:color w:val="FF0000"/>
      </w:rPr>
      <w:drawing>
        <wp:anchor distT="0" distB="0" distL="114300" distR="114300" simplePos="0" relativeHeight="251659264" behindDoc="0" locked="1" layoutInCell="1" allowOverlap="1" wp14:anchorId="432B098C" wp14:editId="70EA2C65">
          <wp:simplePos x="0" y="0"/>
          <wp:positionH relativeFrom="margin">
            <wp:posOffset>0</wp:posOffset>
          </wp:positionH>
          <wp:positionV relativeFrom="topMargin">
            <wp:align>center</wp:align>
          </wp:positionV>
          <wp:extent cx="1856232" cy="484632"/>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232" cy="484632"/>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43A" w14:textId="77777777" w:rsidR="00A41729" w:rsidRPr="009C284F" w:rsidRDefault="00A41729"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CONSORTIUM THREE-YEAR PLAN</w:t>
    </w:r>
  </w:p>
  <w:p w14:paraId="7F8E4EC7" w14:textId="32BFE865" w:rsidR="00A41729" w:rsidRPr="009C284F" w:rsidRDefault="00A41729" w:rsidP="009C284F">
    <w:pPr>
      <w:spacing w:after="0" w:line="240" w:lineRule="auto"/>
      <w:ind w:right="-450"/>
      <w:jc w:val="right"/>
      <w:rPr>
        <w:rFonts w:ascii="Avenir Next Ultra Light" w:eastAsia="Lato Light" w:hAnsi="Avenir Next Ultra Light" w:cstheme="majorHAnsi"/>
        <w:color w:val="666666"/>
        <w:sz w:val="32"/>
        <w:szCs w:val="52"/>
      </w:rPr>
    </w:pPr>
    <w:r w:rsidRPr="009C284F">
      <w:rPr>
        <w:rFonts w:ascii="Avenir Next Ultra Light" w:eastAsia="Lato Light" w:hAnsi="Avenir Next Ultra Light" w:cstheme="majorHAnsi"/>
        <w:color w:val="666666"/>
        <w:sz w:val="32"/>
        <w:szCs w:val="52"/>
      </w:rPr>
      <w:t>2019-2022</w:t>
    </w:r>
  </w:p>
  <w:p w14:paraId="66F51B88" w14:textId="6D78CA84" w:rsidR="00A41729" w:rsidRDefault="00A41729">
    <w:pPr>
      <w:pStyle w:val="Header"/>
    </w:pPr>
    <w:r>
      <w:rPr>
        <w:noProof/>
        <w:color w:val="FF0000"/>
      </w:rPr>
      <w:drawing>
        <wp:anchor distT="0" distB="0" distL="114300" distR="114300" simplePos="0" relativeHeight="251669504" behindDoc="0" locked="0" layoutInCell="1" allowOverlap="1" wp14:anchorId="4DFE1613" wp14:editId="05288BF8">
          <wp:simplePos x="0" y="0"/>
          <wp:positionH relativeFrom="column">
            <wp:posOffset>-418011</wp:posOffset>
          </wp:positionH>
          <wp:positionV relativeFrom="page">
            <wp:posOffset>392430</wp:posOffset>
          </wp:positionV>
          <wp:extent cx="1856105" cy="484505"/>
          <wp:effectExtent l="0" t="0" r="0" b="0"/>
          <wp:wrapThrough wrapText="bothSides">
            <wp:wrapPolygon edited="0">
              <wp:start x="0" y="0"/>
              <wp:lineTo x="0" y="16419"/>
              <wp:lineTo x="1330" y="18118"/>
              <wp:lineTo x="1330" y="20949"/>
              <wp:lineTo x="21430" y="20949"/>
              <wp:lineTo x="21430" y="6228"/>
              <wp:lineTo x="17292" y="4529"/>
              <wp:lineTo x="4434" y="0"/>
              <wp:lineTo x="0" y="0"/>
            </wp:wrapPolygon>
          </wp:wrapThrough>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6105" cy="484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E1BC9"/>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7905"/>
    <w:rsid w:val="00016E3D"/>
    <w:rsid w:val="000337C9"/>
    <w:rsid w:val="00036D98"/>
    <w:rsid w:val="00037126"/>
    <w:rsid w:val="00040814"/>
    <w:rsid w:val="000422BA"/>
    <w:rsid w:val="0005560A"/>
    <w:rsid w:val="000561B1"/>
    <w:rsid w:val="000777C0"/>
    <w:rsid w:val="00081AA7"/>
    <w:rsid w:val="00084C2A"/>
    <w:rsid w:val="00092BAA"/>
    <w:rsid w:val="000A1F33"/>
    <w:rsid w:val="000A6B81"/>
    <w:rsid w:val="000B5C7E"/>
    <w:rsid w:val="000B6B3F"/>
    <w:rsid w:val="000C1256"/>
    <w:rsid w:val="000C4C72"/>
    <w:rsid w:val="000C4CD3"/>
    <w:rsid w:val="000E1E1D"/>
    <w:rsid w:val="000E2B6F"/>
    <w:rsid w:val="00100334"/>
    <w:rsid w:val="0011265B"/>
    <w:rsid w:val="0013657B"/>
    <w:rsid w:val="00154969"/>
    <w:rsid w:val="00195A14"/>
    <w:rsid w:val="001B40BC"/>
    <w:rsid w:val="001B4CF9"/>
    <w:rsid w:val="001C1EEB"/>
    <w:rsid w:val="001C3E21"/>
    <w:rsid w:val="001D5CA7"/>
    <w:rsid w:val="001E3A1C"/>
    <w:rsid w:val="001E53E8"/>
    <w:rsid w:val="0020336F"/>
    <w:rsid w:val="00217FAB"/>
    <w:rsid w:val="002228C6"/>
    <w:rsid w:val="002353F9"/>
    <w:rsid w:val="00254557"/>
    <w:rsid w:val="002648F6"/>
    <w:rsid w:val="0028169B"/>
    <w:rsid w:val="002907BC"/>
    <w:rsid w:val="0029598D"/>
    <w:rsid w:val="002A4BAF"/>
    <w:rsid w:val="002D79A6"/>
    <w:rsid w:val="002E3FCF"/>
    <w:rsid w:val="00321C55"/>
    <w:rsid w:val="00357EA0"/>
    <w:rsid w:val="003632DE"/>
    <w:rsid w:val="003660B0"/>
    <w:rsid w:val="00370253"/>
    <w:rsid w:val="003868C2"/>
    <w:rsid w:val="003B09A4"/>
    <w:rsid w:val="003B430A"/>
    <w:rsid w:val="003C6759"/>
    <w:rsid w:val="003E6CEE"/>
    <w:rsid w:val="003F05FD"/>
    <w:rsid w:val="003F78BC"/>
    <w:rsid w:val="004053CB"/>
    <w:rsid w:val="004978C3"/>
    <w:rsid w:val="004A024C"/>
    <w:rsid w:val="004B1259"/>
    <w:rsid w:val="004B1B8D"/>
    <w:rsid w:val="004B1E49"/>
    <w:rsid w:val="004C0340"/>
    <w:rsid w:val="004D4B27"/>
    <w:rsid w:val="005063C8"/>
    <w:rsid w:val="00514BA1"/>
    <w:rsid w:val="00535D34"/>
    <w:rsid w:val="00562C42"/>
    <w:rsid w:val="005664C5"/>
    <w:rsid w:val="005863CF"/>
    <w:rsid w:val="00591750"/>
    <w:rsid w:val="00591C05"/>
    <w:rsid w:val="005B06DA"/>
    <w:rsid w:val="005B2825"/>
    <w:rsid w:val="005B3CDD"/>
    <w:rsid w:val="005C6654"/>
    <w:rsid w:val="005D27E8"/>
    <w:rsid w:val="00600745"/>
    <w:rsid w:val="00603443"/>
    <w:rsid w:val="006117E8"/>
    <w:rsid w:val="0062059A"/>
    <w:rsid w:val="00670FFE"/>
    <w:rsid w:val="00671C2A"/>
    <w:rsid w:val="006A0624"/>
    <w:rsid w:val="006A2FA7"/>
    <w:rsid w:val="006B162D"/>
    <w:rsid w:val="006C2CDB"/>
    <w:rsid w:val="006E1FDA"/>
    <w:rsid w:val="00724378"/>
    <w:rsid w:val="00761338"/>
    <w:rsid w:val="00770818"/>
    <w:rsid w:val="00775D42"/>
    <w:rsid w:val="00776666"/>
    <w:rsid w:val="0078667F"/>
    <w:rsid w:val="007A68F2"/>
    <w:rsid w:val="007B66A2"/>
    <w:rsid w:val="007C5B89"/>
    <w:rsid w:val="007C5BD1"/>
    <w:rsid w:val="007E7B70"/>
    <w:rsid w:val="007F7B4B"/>
    <w:rsid w:val="00804301"/>
    <w:rsid w:val="00811842"/>
    <w:rsid w:val="00812CAA"/>
    <w:rsid w:val="008139E8"/>
    <w:rsid w:val="00814D61"/>
    <w:rsid w:val="008162B1"/>
    <w:rsid w:val="00817420"/>
    <w:rsid w:val="00823116"/>
    <w:rsid w:val="008367D7"/>
    <w:rsid w:val="00845E01"/>
    <w:rsid w:val="00852BFA"/>
    <w:rsid w:val="00854E06"/>
    <w:rsid w:val="008A3A63"/>
    <w:rsid w:val="008A6842"/>
    <w:rsid w:val="008C0B4E"/>
    <w:rsid w:val="008E17D4"/>
    <w:rsid w:val="008E4612"/>
    <w:rsid w:val="008F1B6D"/>
    <w:rsid w:val="008F363F"/>
    <w:rsid w:val="00915E51"/>
    <w:rsid w:val="00923B06"/>
    <w:rsid w:val="00935DB7"/>
    <w:rsid w:val="0094466D"/>
    <w:rsid w:val="009514FC"/>
    <w:rsid w:val="009654D2"/>
    <w:rsid w:val="009656C0"/>
    <w:rsid w:val="00976123"/>
    <w:rsid w:val="00984CDF"/>
    <w:rsid w:val="0099452C"/>
    <w:rsid w:val="009A3F84"/>
    <w:rsid w:val="009B0576"/>
    <w:rsid w:val="009B55FD"/>
    <w:rsid w:val="009C284F"/>
    <w:rsid w:val="009F4D08"/>
    <w:rsid w:val="00A11CC5"/>
    <w:rsid w:val="00A324A7"/>
    <w:rsid w:val="00A41729"/>
    <w:rsid w:val="00A708E7"/>
    <w:rsid w:val="00A73257"/>
    <w:rsid w:val="00A841D7"/>
    <w:rsid w:val="00A861CB"/>
    <w:rsid w:val="00AA5EB1"/>
    <w:rsid w:val="00AC2A27"/>
    <w:rsid w:val="00AC7230"/>
    <w:rsid w:val="00AF0146"/>
    <w:rsid w:val="00B148D7"/>
    <w:rsid w:val="00B20030"/>
    <w:rsid w:val="00B24931"/>
    <w:rsid w:val="00B47F78"/>
    <w:rsid w:val="00B54634"/>
    <w:rsid w:val="00B67BD2"/>
    <w:rsid w:val="00B80A65"/>
    <w:rsid w:val="00B919FB"/>
    <w:rsid w:val="00B96429"/>
    <w:rsid w:val="00BA6C2C"/>
    <w:rsid w:val="00BB4A98"/>
    <w:rsid w:val="00BB5493"/>
    <w:rsid w:val="00BC0EC1"/>
    <w:rsid w:val="00BC101C"/>
    <w:rsid w:val="00BD38F1"/>
    <w:rsid w:val="00BD77C6"/>
    <w:rsid w:val="00BF3A85"/>
    <w:rsid w:val="00BF6405"/>
    <w:rsid w:val="00C31868"/>
    <w:rsid w:val="00C444D1"/>
    <w:rsid w:val="00C844ED"/>
    <w:rsid w:val="00C94148"/>
    <w:rsid w:val="00C9534F"/>
    <w:rsid w:val="00CA4682"/>
    <w:rsid w:val="00CA619A"/>
    <w:rsid w:val="00CC7F37"/>
    <w:rsid w:val="00CD0484"/>
    <w:rsid w:val="00CD1D20"/>
    <w:rsid w:val="00CD46CB"/>
    <w:rsid w:val="00CD4A3A"/>
    <w:rsid w:val="00CE38EB"/>
    <w:rsid w:val="00CF56DD"/>
    <w:rsid w:val="00D077B5"/>
    <w:rsid w:val="00D30153"/>
    <w:rsid w:val="00D33DEE"/>
    <w:rsid w:val="00D35AAC"/>
    <w:rsid w:val="00D42100"/>
    <w:rsid w:val="00D51642"/>
    <w:rsid w:val="00D636AF"/>
    <w:rsid w:val="00D6478F"/>
    <w:rsid w:val="00D67A4F"/>
    <w:rsid w:val="00D75444"/>
    <w:rsid w:val="00D836BE"/>
    <w:rsid w:val="00D9132E"/>
    <w:rsid w:val="00D95331"/>
    <w:rsid w:val="00DD36CA"/>
    <w:rsid w:val="00DE2BEF"/>
    <w:rsid w:val="00DF5980"/>
    <w:rsid w:val="00E05286"/>
    <w:rsid w:val="00E444E2"/>
    <w:rsid w:val="00E60A77"/>
    <w:rsid w:val="00E62E27"/>
    <w:rsid w:val="00E76A5A"/>
    <w:rsid w:val="00E80BD0"/>
    <w:rsid w:val="00EA5641"/>
    <w:rsid w:val="00F13145"/>
    <w:rsid w:val="00F2303E"/>
    <w:rsid w:val="00F26199"/>
    <w:rsid w:val="00F376BE"/>
    <w:rsid w:val="00F5673F"/>
    <w:rsid w:val="00F64105"/>
    <w:rsid w:val="00F64F20"/>
    <w:rsid w:val="00F95A70"/>
    <w:rsid w:val="00FA2FA2"/>
    <w:rsid w:val="00FA65E2"/>
    <w:rsid w:val="00FE384D"/>
    <w:rsid w:val="00FE6571"/>
    <w:rsid w:val="00FE77A7"/>
    <w:rsid w:val="00FF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CF60"/>
  <w14:defaultImageDpi w14:val="32767"/>
  <w15:chartTrackingRefBased/>
  <w15:docId w15:val="{8B20E865-00A2-C341-8863-348296EB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45"/>
    <w:pPr>
      <w:spacing w:after="200" w:line="276" w:lineRule="auto"/>
    </w:pPr>
    <w:rPr>
      <w:rFonts w:ascii="Avenir Next" w:eastAsia="Lato" w:hAnsi="Avenir Next" w:cs="Lato"/>
      <w:color w:val="404040" w:themeColor="text1" w:themeTint="BF"/>
      <w:sz w:val="22"/>
      <w:szCs w:val="22"/>
    </w:rPr>
  </w:style>
  <w:style w:type="paragraph" w:styleId="Heading1">
    <w:name w:val="heading 1"/>
    <w:basedOn w:val="Normal"/>
    <w:next w:val="Normal"/>
    <w:link w:val="Heading1Char"/>
    <w:uiPriority w:val="9"/>
    <w:qFormat/>
    <w:rsid w:val="00600745"/>
    <w:pPr>
      <w:keepNext/>
      <w:keepLines/>
      <w:spacing w:before="400" w:after="120"/>
      <w:outlineLvl w:val="0"/>
    </w:pPr>
    <w:rPr>
      <w:color w:val="187196"/>
      <w:sz w:val="36"/>
      <w:szCs w:val="36"/>
    </w:rPr>
  </w:style>
  <w:style w:type="paragraph" w:styleId="Heading2">
    <w:name w:val="heading 2"/>
    <w:basedOn w:val="Normal"/>
    <w:next w:val="Normal"/>
    <w:link w:val="Heading2Char"/>
    <w:uiPriority w:val="9"/>
    <w:unhideWhenUsed/>
    <w:qFormat/>
    <w:rsid w:val="007C5BD1"/>
    <w:pPr>
      <w:keepNext/>
      <w:keepLines/>
      <w:pBdr>
        <w:bottom w:val="single" w:sz="6" w:space="1" w:color="auto"/>
      </w:pBdr>
      <w:spacing w:before="240" w:after="120" w:line="240" w:lineRule="auto"/>
      <w:outlineLvl w:val="1"/>
    </w:pPr>
    <w:rPr>
      <w:rFonts w:eastAsia="Lato Light" w:cstheme="majorHAnsi"/>
      <w:sz w:val="32"/>
      <w:szCs w:val="32"/>
    </w:rPr>
  </w:style>
  <w:style w:type="paragraph" w:styleId="Heading3">
    <w:name w:val="heading 3"/>
    <w:basedOn w:val="Normal"/>
    <w:next w:val="Normal"/>
    <w:link w:val="Heading3Char"/>
    <w:uiPriority w:val="9"/>
    <w:unhideWhenUsed/>
    <w:qFormat/>
    <w:rsid w:val="00C94148"/>
    <w:pPr>
      <w:spacing w:before="240" w:after="120" w:line="240" w:lineRule="auto"/>
      <w:outlineLvl w:val="2"/>
    </w:pPr>
    <w:rPr>
      <w:rFonts w:cstheme="majorHAnsi"/>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745"/>
    <w:rPr>
      <w:rFonts w:ascii="Avenir Next" w:eastAsia="Lato" w:hAnsi="Avenir Next" w:cs="Lato"/>
      <w:color w:val="187196"/>
      <w:sz w:val="36"/>
      <w:szCs w:val="36"/>
    </w:rPr>
  </w:style>
  <w:style w:type="character" w:customStyle="1" w:styleId="Heading2Char">
    <w:name w:val="Heading 2 Char"/>
    <w:basedOn w:val="DefaultParagraphFont"/>
    <w:link w:val="Heading2"/>
    <w:uiPriority w:val="9"/>
    <w:rsid w:val="007C5BD1"/>
    <w:rPr>
      <w:rFonts w:ascii="Avenir Next" w:eastAsia="Lato Light" w:hAnsi="Avenir Next" w:cstheme="majorHAnsi"/>
      <w:color w:val="404040" w:themeColor="text1" w:themeTint="BF"/>
      <w:sz w:val="32"/>
      <w:szCs w:val="32"/>
    </w:rPr>
  </w:style>
  <w:style w:type="paragraph" w:styleId="Header">
    <w:name w:val="header"/>
    <w:basedOn w:val="Normal"/>
    <w:link w:val="HeaderChar"/>
    <w:uiPriority w:val="99"/>
    <w:unhideWhenUsed/>
    <w:rsid w:val="00600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745"/>
    <w:rPr>
      <w:rFonts w:ascii="Avenir Next" w:eastAsia="Lato" w:hAnsi="Avenir Next" w:cs="Lato"/>
      <w:color w:val="404040" w:themeColor="text1" w:themeTint="BF"/>
      <w:sz w:val="22"/>
      <w:szCs w:val="22"/>
    </w:rPr>
  </w:style>
  <w:style w:type="paragraph" w:styleId="Footer">
    <w:name w:val="footer"/>
    <w:basedOn w:val="Normal"/>
    <w:link w:val="FooterChar"/>
    <w:uiPriority w:val="99"/>
    <w:unhideWhenUsed/>
    <w:rsid w:val="00600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745"/>
    <w:rPr>
      <w:rFonts w:ascii="Avenir Next" w:eastAsia="Lato" w:hAnsi="Avenir Next" w:cs="Lato"/>
      <w:color w:val="404040" w:themeColor="text1" w:themeTint="BF"/>
      <w:sz w:val="22"/>
      <w:szCs w:val="22"/>
    </w:rPr>
  </w:style>
  <w:style w:type="paragraph" w:styleId="TOCHeading">
    <w:name w:val="TOC Heading"/>
    <w:basedOn w:val="Heading1"/>
    <w:next w:val="Normal"/>
    <w:uiPriority w:val="39"/>
    <w:unhideWhenUsed/>
    <w:qFormat/>
    <w:rsid w:val="001E3A1C"/>
    <w:pPr>
      <w:spacing w:before="480" w:after="0"/>
      <w:outlineLvl w:val="9"/>
    </w:pPr>
    <w:rPr>
      <w:rFonts w:cstheme="majorHAnsi"/>
    </w:rPr>
  </w:style>
  <w:style w:type="paragraph" w:styleId="TOC1">
    <w:name w:val="toc 1"/>
    <w:basedOn w:val="Normal"/>
    <w:next w:val="Normal"/>
    <w:autoRedefine/>
    <w:uiPriority w:val="39"/>
    <w:unhideWhenUsed/>
    <w:rsid w:val="000337C9"/>
    <w:pPr>
      <w:tabs>
        <w:tab w:val="right" w:leader="dot" w:pos="9350"/>
      </w:tabs>
      <w:spacing w:before="120" w:after="0"/>
    </w:pPr>
    <w:rPr>
      <w:rFonts w:asciiTheme="minorHAnsi" w:hAnsiTheme="minorHAnsi" w:cstheme="majorHAnsi"/>
      <w:b/>
      <w:bCs/>
      <w:iCs/>
      <w:noProof/>
      <w:sz w:val="24"/>
      <w:szCs w:val="24"/>
    </w:rPr>
  </w:style>
  <w:style w:type="paragraph" w:styleId="TOC2">
    <w:name w:val="toc 2"/>
    <w:basedOn w:val="Normal"/>
    <w:next w:val="Normal"/>
    <w:autoRedefine/>
    <w:uiPriority w:val="39"/>
    <w:unhideWhenUsed/>
    <w:rsid w:val="006117E8"/>
    <w:pPr>
      <w:spacing w:before="120" w:after="0"/>
      <w:ind w:left="220"/>
    </w:pPr>
    <w:rPr>
      <w:rFonts w:asciiTheme="minorHAnsi" w:hAnsiTheme="minorHAnsi"/>
      <w:b/>
      <w:bCs/>
    </w:rPr>
  </w:style>
  <w:style w:type="character" w:styleId="Hyperlink">
    <w:name w:val="Hyperlink"/>
    <w:basedOn w:val="DefaultParagraphFont"/>
    <w:uiPriority w:val="99"/>
    <w:unhideWhenUsed/>
    <w:rsid w:val="001E3A1C"/>
    <w:rPr>
      <w:rFonts w:ascii="Avenir Roman" w:hAnsi="Avenir Roman"/>
      <w:color w:val="0563C1" w:themeColor="hyperlink"/>
      <w:u w:val="single"/>
    </w:rPr>
  </w:style>
  <w:style w:type="paragraph" w:styleId="TOC3">
    <w:name w:val="toc 3"/>
    <w:basedOn w:val="Normal"/>
    <w:next w:val="Normal"/>
    <w:autoRedefine/>
    <w:uiPriority w:val="39"/>
    <w:unhideWhenUsed/>
    <w:rsid w:val="006117E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6117E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6117E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6117E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6117E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6117E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6117E8"/>
    <w:pPr>
      <w:spacing w:after="0"/>
      <w:ind w:left="1760"/>
    </w:pPr>
    <w:rPr>
      <w:rFonts w:asciiTheme="minorHAnsi" w:hAnsiTheme="minorHAnsi"/>
      <w:sz w:val="20"/>
      <w:szCs w:val="20"/>
    </w:rPr>
  </w:style>
  <w:style w:type="character" w:customStyle="1" w:styleId="Heading3Char">
    <w:name w:val="Heading 3 Char"/>
    <w:basedOn w:val="DefaultParagraphFont"/>
    <w:link w:val="Heading3"/>
    <w:uiPriority w:val="9"/>
    <w:rsid w:val="00C94148"/>
    <w:rPr>
      <w:rFonts w:ascii="Avenir Next" w:eastAsia="Lato" w:hAnsi="Avenir Next" w:cstheme="majorHAnsi"/>
      <w:b/>
      <w:color w:val="404040" w:themeColor="text1" w:themeTint="BF"/>
      <w:szCs w:val="20"/>
    </w:rPr>
  </w:style>
  <w:style w:type="paragraph" w:styleId="Title">
    <w:name w:val="Title"/>
    <w:basedOn w:val="Normal"/>
    <w:next w:val="Normal"/>
    <w:link w:val="TitleChar"/>
    <w:uiPriority w:val="10"/>
    <w:qFormat/>
    <w:rsid w:val="001D5CA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1D5CA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D42100"/>
  </w:style>
  <w:style w:type="paragraph" w:styleId="BalloonText">
    <w:name w:val="Balloon Text"/>
    <w:basedOn w:val="Normal"/>
    <w:link w:val="BalloonTextChar"/>
    <w:uiPriority w:val="99"/>
    <w:semiHidden/>
    <w:unhideWhenUsed/>
    <w:rsid w:val="002907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07BC"/>
    <w:rPr>
      <w:rFonts w:ascii="Times New Roman" w:eastAsia="Lato" w:hAnsi="Times New Roman" w:cs="Times New Roman"/>
      <w:color w:val="404040" w:themeColor="text1" w:themeTint="BF"/>
      <w:sz w:val="18"/>
      <w:szCs w:val="18"/>
    </w:rPr>
  </w:style>
  <w:style w:type="character" w:customStyle="1" w:styleId="UnresolvedMention">
    <w:name w:val="Unresolved Mention"/>
    <w:basedOn w:val="DefaultParagraphFont"/>
    <w:uiPriority w:val="99"/>
    <w:rsid w:val="00724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0060">
      <w:bodyDiv w:val="1"/>
      <w:marLeft w:val="0"/>
      <w:marRight w:val="0"/>
      <w:marTop w:val="0"/>
      <w:marBottom w:val="0"/>
      <w:divBdr>
        <w:top w:val="none" w:sz="0" w:space="0" w:color="auto"/>
        <w:left w:val="none" w:sz="0" w:space="0" w:color="auto"/>
        <w:bottom w:val="none" w:sz="0" w:space="0" w:color="auto"/>
        <w:right w:val="none" w:sz="0" w:space="0" w:color="auto"/>
      </w:divBdr>
    </w:div>
    <w:div w:id="97607544">
      <w:bodyDiv w:val="1"/>
      <w:marLeft w:val="0"/>
      <w:marRight w:val="0"/>
      <w:marTop w:val="0"/>
      <w:marBottom w:val="0"/>
      <w:divBdr>
        <w:top w:val="none" w:sz="0" w:space="0" w:color="auto"/>
        <w:left w:val="none" w:sz="0" w:space="0" w:color="auto"/>
        <w:bottom w:val="none" w:sz="0" w:space="0" w:color="auto"/>
        <w:right w:val="none" w:sz="0" w:space="0" w:color="auto"/>
      </w:divBdr>
    </w:div>
    <w:div w:id="511994597">
      <w:bodyDiv w:val="1"/>
      <w:marLeft w:val="0"/>
      <w:marRight w:val="0"/>
      <w:marTop w:val="0"/>
      <w:marBottom w:val="0"/>
      <w:divBdr>
        <w:top w:val="none" w:sz="0" w:space="0" w:color="auto"/>
        <w:left w:val="none" w:sz="0" w:space="0" w:color="auto"/>
        <w:bottom w:val="none" w:sz="0" w:space="0" w:color="auto"/>
        <w:right w:val="none" w:sz="0" w:space="0" w:color="auto"/>
      </w:divBdr>
    </w:div>
    <w:div w:id="1866862127">
      <w:bodyDiv w:val="1"/>
      <w:marLeft w:val="0"/>
      <w:marRight w:val="0"/>
      <w:marTop w:val="0"/>
      <w:marBottom w:val="0"/>
      <w:divBdr>
        <w:top w:val="none" w:sz="0" w:space="0" w:color="auto"/>
        <w:left w:val="none" w:sz="0" w:space="0" w:color="auto"/>
        <w:bottom w:val="none" w:sz="0" w:space="0" w:color="auto"/>
        <w:right w:val="none" w:sz="0" w:space="0" w:color="auto"/>
      </w:divBdr>
    </w:div>
    <w:div w:id="20930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4" ma:contentTypeDescription="Create a new document." ma:contentTypeScope="" ma:versionID="11302d164f8a094ede8994c351fee6b7">
  <xsd:schema xmlns:xsd="http://www.w3.org/2001/XMLSchema" xmlns:xs="http://www.w3.org/2001/XMLSchema" xmlns:p="http://schemas.microsoft.com/office/2006/metadata/properties" xmlns:ns2="9682fde2-0d99-4585-8154-fdea48568b58" targetNamespace="http://schemas.microsoft.com/office/2006/metadata/properties" ma:root="true" ma:fieldsID="ca331e3078bcb268bab2cd542cff0ad4"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A78F-1419-432E-B285-94F58881B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7414A-6A35-40EA-972F-A2AF091CB30F}">
  <ds:schemaRefs>
    <ds:schemaRef ds:uri="http://schemas.microsoft.com/sharepoint/v3/contenttype/forms"/>
  </ds:schemaRefs>
</ds:datastoreItem>
</file>

<file path=customXml/itemProps3.xml><?xml version="1.0" encoding="utf-8"?>
<ds:datastoreItem xmlns:ds="http://schemas.openxmlformats.org/officeDocument/2006/customXml" ds:itemID="{13DA9CCF-B5BB-495D-9039-541A0FB67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2fde2-0d99-4585-8154-fdea48568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37C6E-1D7B-4326-AD85-4167D8C9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Hill Jr.</dc:creator>
  <cp:keywords/>
  <dc:description/>
  <cp:lastModifiedBy>Talcott, Margaret</cp:lastModifiedBy>
  <cp:revision>2</cp:revision>
  <cp:lastPrinted>2019-06-06T18:43:00Z</cp:lastPrinted>
  <dcterms:created xsi:type="dcterms:W3CDTF">2019-06-07T00:58:00Z</dcterms:created>
  <dcterms:modified xsi:type="dcterms:W3CDTF">2019-06-07T00:58:00Z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